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Verdana" w:cs="Verdana" w:eastAsia="Verdana" w:hAnsi="Verdana"/>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240" w:lineRule="auto"/>
        <w:jc w:val="center"/>
        <w:rPr>
          <w:rFonts w:ascii="Verdana" w:cs="Verdana" w:eastAsia="Verdana" w:hAnsi="Verdana"/>
          <w:b w:val="1"/>
          <w:sz w:val="20"/>
          <w:szCs w:val="20"/>
        </w:rPr>
      </w:pPr>
      <w:bookmarkStart w:colFirst="0" w:colLast="0" w:name="_heading=h.q50l3oguz9m" w:id="1"/>
      <w:bookmarkEnd w:id="1"/>
      <w:r w:rsidDel="00000000" w:rsidR="00000000" w:rsidRPr="00000000">
        <w:rPr>
          <w:rFonts w:ascii="Verdana" w:cs="Verdana" w:eastAsia="Verdana" w:hAnsi="Verdana"/>
          <w:b w:val="1"/>
          <w:sz w:val="20"/>
          <w:szCs w:val="20"/>
          <w:rtl w:val="0"/>
        </w:rPr>
        <w:t xml:space="preserve">Radiografía Froot Loops 30 g</w:t>
      </w:r>
    </w:p>
    <w:p w:rsidR="00000000" w:rsidDel="00000000" w:rsidP="00000000" w:rsidRDefault="00000000" w:rsidRPr="00000000" w14:paraId="00000003">
      <w:pPr>
        <w:spacing w:after="0" w:line="240" w:lineRule="auto"/>
        <w:ind w:left="1700" w:right="-79" w:hanging="170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Tamaño de la porción: 30 g (¾ de taza), pero el envase contiene 350 g</w:t>
      </w:r>
    </w:p>
    <w:p w:rsidR="00000000" w:rsidDel="00000000" w:rsidP="00000000" w:rsidRDefault="00000000" w:rsidRPr="00000000" w14:paraId="00000004">
      <w:pPr>
        <w:spacing w:after="0" w:line="240" w:lineRule="auto"/>
        <w:ind w:left="1700" w:right="-79" w:hanging="170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Kilocalorías (Kcal): 120 por porción</w:t>
      </w:r>
    </w:p>
    <w:p w:rsidR="00000000" w:rsidDel="00000000" w:rsidP="00000000" w:rsidRDefault="00000000" w:rsidRPr="00000000" w14:paraId="00000005">
      <w:pPr>
        <w:spacing w:after="0" w:line="240" w:lineRule="auto"/>
        <w:ind w:left="1700" w:right="-79" w:hanging="170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Número de porciones por envase: Aproximadamente 12 porciones </w:t>
      </w:r>
    </w:p>
    <w:p w:rsidR="00000000" w:rsidDel="00000000" w:rsidP="00000000" w:rsidRDefault="00000000" w:rsidRPr="00000000" w14:paraId="00000006">
      <w:pPr>
        <w:spacing w:line="24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7">
      <w:pPr>
        <w:spacing w:after="0" w:line="240" w:lineRule="auto"/>
        <w:ind w:hanging="2"/>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w:t>
      </w:r>
      <w:r w:rsidDel="00000000" w:rsidR="00000000" w:rsidRPr="00000000">
        <w:rPr>
          <w:rFonts w:ascii="Verdana" w:cs="Verdana" w:eastAsia="Verdana" w:hAnsi="Verdana"/>
          <w:b w:val="1"/>
          <w:sz w:val="20"/>
          <w:szCs w:val="20"/>
          <w:highlight w:val="white"/>
          <w:rtl w:val="0"/>
        </w:rPr>
        <w:t xml:space="preserve">deas Tweet:</w:t>
      </w:r>
      <w:r w:rsidDel="00000000" w:rsidR="00000000" w:rsidRPr="00000000">
        <w:rPr>
          <w:rFonts w:ascii="Verdana" w:cs="Verdana" w:eastAsia="Verdana" w:hAnsi="Verdana"/>
          <w:sz w:val="20"/>
          <w:szCs w:val="20"/>
          <w:highlight w:val="white"/>
          <w:rtl w:val="0"/>
        </w:rPr>
        <w:t xml:space="preserve"> </w:t>
      </w:r>
      <w:r w:rsidDel="00000000" w:rsidR="00000000" w:rsidRPr="00000000">
        <w:rPr>
          <w:rtl w:val="0"/>
        </w:rPr>
      </w:r>
    </w:p>
    <w:p w:rsidR="00000000" w:rsidDel="00000000" w:rsidP="00000000" w:rsidRDefault="00000000" w:rsidRPr="00000000" w14:paraId="00000008">
      <w:pPr>
        <w:numPr>
          <w:ilvl w:val="0"/>
          <w:numId w:val="4"/>
        </w:numPr>
        <w:spacing w:after="0" w:line="240" w:lineRule="auto"/>
        <w:ind w:left="720" w:hanging="36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El consumo habitual y excesivo de este producto incrementa el riesgo de obesidad y de aparición de enfermedades crónicas. </w:t>
      </w:r>
    </w:p>
    <w:p w:rsidR="00000000" w:rsidDel="00000000" w:rsidP="00000000" w:rsidRDefault="00000000" w:rsidRPr="00000000" w14:paraId="00000009">
      <w:pPr>
        <w:numPr>
          <w:ilvl w:val="0"/>
          <w:numId w:val="4"/>
        </w:numPr>
        <w:spacing w:after="0" w:line="240" w:lineRule="auto"/>
        <w:ind w:left="720" w:hanging="36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Este producto contiene 10 aditivos químicos. Algunos de ellos podrían afectar su salud. </w:t>
      </w:r>
    </w:p>
    <w:p w:rsidR="00000000" w:rsidDel="00000000" w:rsidP="00000000" w:rsidRDefault="00000000" w:rsidRPr="00000000" w14:paraId="0000000A">
      <w:pPr>
        <w:numPr>
          <w:ilvl w:val="0"/>
          <w:numId w:val="4"/>
        </w:numPr>
        <w:spacing w:line="240" w:lineRule="auto"/>
        <w:ind w:left="720" w:hanging="360"/>
        <w:jc w:val="both"/>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Recomendación: Evite su consumo </w:t>
      </w:r>
      <w:r w:rsidDel="00000000" w:rsidR="00000000" w:rsidRPr="00000000">
        <w:rPr>
          <w:rFonts w:ascii="Verdana" w:cs="Verdana" w:eastAsia="Verdana" w:hAnsi="Verdana"/>
          <w:sz w:val="20"/>
          <w:szCs w:val="20"/>
          <w:highlight w:val="white"/>
          <w:rtl w:val="0"/>
        </w:rPr>
        <w:t xml:space="preserve">o reemplácelo por cereales sin adición de azúcar o aditivos químicos, granolas preparadas en casa, con ingredientes naturales y sin aditivos nocivos para la salud.</w:t>
      </w:r>
    </w:p>
    <w:p w:rsidR="00000000" w:rsidDel="00000000" w:rsidP="00000000" w:rsidRDefault="00000000" w:rsidRPr="00000000" w14:paraId="0000000B">
      <w:pPr>
        <w:spacing w:after="0" w:line="240" w:lineRule="auto"/>
        <w:ind w:left="709" w:firstLine="0"/>
        <w:jc w:val="both"/>
        <w:rPr>
          <w:rFonts w:ascii="Verdana" w:cs="Verdana" w:eastAsia="Verdana" w:hAnsi="Verdana"/>
          <w:sz w:val="20"/>
          <w:szCs w:val="20"/>
          <w:highlight w:val="white"/>
          <w:u w:val="single"/>
        </w:rPr>
      </w:pPr>
      <w:r w:rsidDel="00000000" w:rsidR="00000000" w:rsidRPr="00000000">
        <w:rPr>
          <w:rtl w:val="0"/>
        </w:rPr>
      </w:r>
    </w:p>
    <w:p w:rsidR="00000000" w:rsidDel="00000000" w:rsidP="00000000" w:rsidRDefault="00000000" w:rsidRPr="00000000" w14:paraId="0000000C">
      <w:pPr>
        <w:spacing w:after="0" w:line="240" w:lineRule="auto"/>
        <w:jc w:val="both"/>
        <w:rPr>
          <w:rFonts w:ascii="Verdana" w:cs="Verdana" w:eastAsia="Verdana" w:hAnsi="Verdana"/>
          <w:sz w:val="20"/>
          <w:szCs w:val="20"/>
          <w:highlight w:val="green"/>
        </w:rPr>
      </w:pPr>
      <w:r w:rsidDel="00000000" w:rsidR="00000000" w:rsidRPr="00000000">
        <w:rPr>
          <w:rFonts w:ascii="Verdana" w:cs="Verdana" w:eastAsia="Verdana" w:hAnsi="Verdana"/>
          <w:b w:val="1"/>
          <w:sz w:val="20"/>
          <w:szCs w:val="20"/>
          <w:highlight w:val="white"/>
          <w:rtl w:val="0"/>
        </w:rPr>
        <w:t xml:space="preserve">Según la Organización Panamericana de la Salud, estos son los sellos de advertencia que tendría este producto: EXCESO DE SODIO y EXCESO DE AZÚCARES LIBRES </w:t>
      </w:r>
      <w:r w:rsidDel="00000000" w:rsidR="00000000" w:rsidRPr="00000000">
        <w:rPr>
          <w:rFonts w:ascii="Verdana" w:cs="Verdana" w:eastAsia="Verdana" w:hAnsi="Verdana"/>
          <w:sz w:val="20"/>
          <w:szCs w:val="20"/>
          <w:highlight w:val="white"/>
          <w:rtl w:val="0"/>
        </w:rPr>
        <w:t xml:space="preserve">(1).</w:t>
      </w: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jc w:val="both"/>
        <w:rPr>
          <w:rFonts w:ascii="Verdana" w:cs="Verdana" w:eastAsia="Verdana" w:hAnsi="Verdana"/>
          <w:sz w:val="20"/>
          <w:szCs w:val="20"/>
          <w:shd w:fill="ffd966" w:val="clear"/>
        </w:rPr>
      </w:pPr>
      <w:r w:rsidDel="00000000" w:rsidR="00000000" w:rsidRPr="00000000">
        <w:rPr>
          <w:rFonts w:ascii="Verdana" w:cs="Verdana" w:eastAsia="Verdana" w:hAnsi="Verdana"/>
          <w:b w:val="1"/>
          <w:color w:val="000000"/>
          <w:sz w:val="20"/>
          <w:szCs w:val="20"/>
          <w:rtl w:val="0"/>
        </w:rPr>
        <w:t xml:space="preserve">Clasificación: </w:t>
      </w:r>
      <w:r w:rsidDel="00000000" w:rsidR="00000000" w:rsidRPr="00000000">
        <w:rPr>
          <w:rFonts w:ascii="Verdana" w:cs="Verdana" w:eastAsia="Verdana" w:hAnsi="Verdana"/>
          <w:sz w:val="20"/>
          <w:szCs w:val="20"/>
          <w:rtl w:val="0"/>
        </w:rPr>
        <w:t xml:space="preserve">Producto comestible ultraprocesado - c</w:t>
      </w:r>
      <w:r w:rsidDel="00000000" w:rsidR="00000000" w:rsidRPr="00000000">
        <w:rPr>
          <w:rFonts w:ascii="Verdana" w:cs="Verdana" w:eastAsia="Verdana" w:hAnsi="Verdana"/>
          <w:color w:val="000000"/>
          <w:sz w:val="20"/>
          <w:szCs w:val="20"/>
          <w:rtl w:val="0"/>
        </w:rPr>
        <w:t xml:space="preserve">ereales azucarados - Cereales azucarados.</w:t>
      </w:r>
      <w:r w:rsidDel="00000000" w:rsidR="00000000" w:rsidRPr="00000000">
        <w:rPr>
          <w:rtl w:val="0"/>
        </w:rPr>
      </w:r>
    </w:p>
    <w:p w:rsidR="00000000" w:rsidDel="00000000" w:rsidP="00000000" w:rsidRDefault="00000000" w:rsidRPr="00000000" w14:paraId="0000000F">
      <w:pPr>
        <w:spacing w:line="240" w:lineRule="auto"/>
        <w:jc w:val="both"/>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Análisis general del producto:</w:t>
      </w:r>
      <w:r w:rsidDel="00000000" w:rsidR="00000000" w:rsidRPr="00000000">
        <w:rPr>
          <w:rFonts w:ascii="Verdana" w:cs="Verdana" w:eastAsia="Verdana" w:hAnsi="Verdana"/>
          <w:sz w:val="20"/>
          <w:szCs w:val="20"/>
          <w:highlight w:val="white"/>
          <w:rtl w:val="0"/>
        </w:rPr>
        <w:t xml:space="preserve"> Este producto contiene 22 ingredientes, 10 de ellos aditivos, y 7 vitaminas y minerales artificiales. Algunos aditivos usados en producción industrial de alimentos podrían afectar la salud (2)(3). Este producto excede los límites de la cantidad recomendada de consumo de azúcar, y sodio, según los criterios de la Organización Panamericana de la Salud (0PS) (1). El consumo de productos que contienen exceso de estos nutrientes, se relaciona con mayor riesgo de sufrir obesidad y enfermedades crónicas como diabetes, hipertensión, enfermedades cardiovasculares, entre otras (4).</w:t>
      </w:r>
    </w:p>
    <w:p w:rsidR="00000000" w:rsidDel="00000000" w:rsidP="00000000" w:rsidRDefault="00000000" w:rsidRPr="00000000" w14:paraId="00000010">
      <w:pPr>
        <w:spacing w:after="0" w:line="240" w:lineRule="auto"/>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11">
      <w:pPr>
        <w:spacing w:after="0" w:line="240" w:lineRule="auto"/>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000000"/>
          <w:sz w:val="20"/>
          <w:szCs w:val="20"/>
          <w:highlight w:val="white"/>
        </w:rPr>
      </w:pPr>
      <w:r w:rsidDel="00000000" w:rsidR="00000000" w:rsidRPr="00000000">
        <w:rPr>
          <w:rFonts w:ascii="Verdana" w:cs="Verdana" w:eastAsia="Verdana" w:hAnsi="Verdana"/>
          <w:b w:val="1"/>
          <w:color w:val="000000"/>
          <w:sz w:val="20"/>
          <w:szCs w:val="20"/>
          <w:highlight w:val="white"/>
          <w:rtl w:val="0"/>
        </w:rPr>
        <w:t xml:space="preserve">Ingredientes:</w:t>
      </w:r>
      <w:r w:rsidDel="00000000" w:rsidR="00000000" w:rsidRPr="00000000">
        <w:rPr>
          <w:rFonts w:ascii="Verdana" w:cs="Verdana" w:eastAsia="Verdana" w:hAnsi="Verdana"/>
          <w:color w:val="000000"/>
          <w:sz w:val="20"/>
          <w:szCs w:val="20"/>
          <w:highlight w:val="white"/>
          <w:rtl w:val="0"/>
        </w:rPr>
        <w:t xml:space="preserve"> </w:t>
      </w:r>
      <w:r w:rsidDel="00000000" w:rsidR="00000000" w:rsidRPr="00000000">
        <w:rPr>
          <w:rFonts w:ascii="Verdana" w:cs="Verdana" w:eastAsia="Verdana" w:hAnsi="Verdana"/>
          <w:b w:val="1"/>
          <w:color w:val="000000"/>
          <w:sz w:val="20"/>
          <w:szCs w:val="20"/>
          <w:highlight w:val="white"/>
          <w:rtl w:val="0"/>
        </w:rPr>
        <w:t xml:space="preserve">(22 ingredientes)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14:paraId="00000014">
      <w:pPr>
        <w:spacing w:after="0" w:line="240" w:lineRule="auto"/>
        <w:ind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continuación, se enumeran los ingredientes del producto, de mayor a menor cantidad, de acuerdo a la información reportada en la etiqueta:</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Mezcla de harinas (maíz, trigo y avena)</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sz w:val="20"/>
          <w:szCs w:val="20"/>
          <w:highlight w:val="white"/>
        </w:rPr>
      </w:pPr>
      <w:r w:rsidDel="00000000" w:rsidR="00000000" w:rsidRPr="00000000">
        <w:rPr>
          <w:rFonts w:ascii="Verdana" w:cs="Verdana" w:eastAsia="Verdana" w:hAnsi="Verdana"/>
          <w:sz w:val="20"/>
          <w:szCs w:val="20"/>
          <w:highlight w:val="white"/>
          <w:rtl w:val="0"/>
        </w:rPr>
        <w:t xml:space="preserve">A</w:t>
      </w:r>
      <w:r w:rsidDel="00000000" w:rsidR="00000000" w:rsidRPr="00000000">
        <w:rPr>
          <w:rFonts w:ascii="Verdana" w:cs="Verdana" w:eastAsia="Verdana" w:hAnsi="Verdana"/>
          <w:color w:val="000000"/>
          <w:sz w:val="20"/>
          <w:szCs w:val="20"/>
          <w:highlight w:val="white"/>
          <w:rtl w:val="0"/>
        </w:rPr>
        <w:t xml:space="preserve">zúcar</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sz w:val="20"/>
          <w:szCs w:val="20"/>
          <w:highlight w:val="white"/>
        </w:rPr>
      </w:pPr>
      <w:r w:rsidDel="00000000" w:rsidR="00000000" w:rsidRPr="00000000">
        <w:rPr>
          <w:rFonts w:ascii="Verdana" w:cs="Verdana" w:eastAsia="Verdana" w:hAnsi="Verdana"/>
          <w:sz w:val="20"/>
          <w:szCs w:val="20"/>
          <w:highlight w:val="white"/>
          <w:rtl w:val="0"/>
        </w:rPr>
        <w:t xml:space="preserve">A</w:t>
      </w:r>
      <w:r w:rsidDel="00000000" w:rsidR="00000000" w:rsidRPr="00000000">
        <w:rPr>
          <w:rFonts w:ascii="Verdana" w:cs="Verdana" w:eastAsia="Verdana" w:hAnsi="Verdana"/>
          <w:color w:val="000000"/>
          <w:sz w:val="20"/>
          <w:szCs w:val="20"/>
          <w:highlight w:val="white"/>
          <w:rtl w:val="0"/>
        </w:rPr>
        <w:t xml:space="preserve">ceite vegetal</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sz w:val="20"/>
          <w:szCs w:val="20"/>
          <w:highlight w:val="white"/>
          <w:rtl w:val="0"/>
        </w:rPr>
        <w:t xml:space="preserve">S</w:t>
      </w:r>
      <w:r w:rsidDel="00000000" w:rsidR="00000000" w:rsidRPr="00000000">
        <w:rPr>
          <w:rFonts w:ascii="Verdana" w:cs="Verdana" w:eastAsia="Verdana" w:hAnsi="Verdana"/>
          <w:color w:val="000000"/>
          <w:sz w:val="20"/>
          <w:szCs w:val="20"/>
          <w:highlight w:val="white"/>
          <w:rtl w:val="0"/>
        </w:rPr>
        <w:t xml:space="preserve">al</w:t>
      </w: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Saborizante natural naranja </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Saborizante natural limón</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Saborizante natural arándano</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Saborizante natural cereza</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Saborizante natural uva</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Saborizante natural lima-limón</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Rojo N°40 (Colorante artificial)</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Amarillo N°6 (Colorante artificial)</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Azul N°1 (Colorante artificial)</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H</w:t>
      </w:r>
      <w:r w:rsidDel="00000000" w:rsidR="00000000" w:rsidRPr="00000000">
        <w:rPr>
          <w:rFonts w:ascii="Verdana" w:cs="Verdana" w:eastAsia="Verdana" w:hAnsi="Verdana"/>
          <w:color w:val="000000"/>
          <w:sz w:val="20"/>
          <w:szCs w:val="20"/>
          <w:rtl w:val="0"/>
        </w:rPr>
        <w:t xml:space="preserve">ierro reducido (hierro)</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sz w:val="20"/>
          <w:szCs w:val="20"/>
          <w:highlight w:val="white"/>
        </w:rPr>
      </w:pPr>
      <w:r w:rsidDel="00000000" w:rsidR="00000000" w:rsidRPr="00000000">
        <w:rPr>
          <w:rFonts w:ascii="Verdana" w:cs="Verdana" w:eastAsia="Verdana" w:hAnsi="Verdana"/>
          <w:sz w:val="20"/>
          <w:szCs w:val="20"/>
          <w:highlight w:val="white"/>
          <w:rtl w:val="0"/>
        </w:rPr>
        <w:t xml:space="preserve">Ò</w:t>
      </w:r>
      <w:r w:rsidDel="00000000" w:rsidR="00000000" w:rsidRPr="00000000">
        <w:rPr>
          <w:rFonts w:ascii="Verdana" w:cs="Verdana" w:eastAsia="Verdana" w:hAnsi="Verdana"/>
          <w:color w:val="000000"/>
          <w:sz w:val="20"/>
          <w:szCs w:val="20"/>
          <w:highlight w:val="white"/>
          <w:rtl w:val="0"/>
        </w:rPr>
        <w:t xml:space="preserve">xido de zinc (zinc)</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Betacaroteno (Colorante natural)</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sz w:val="20"/>
          <w:szCs w:val="20"/>
          <w:highlight w:val="white"/>
        </w:rPr>
      </w:pPr>
      <w:r w:rsidDel="00000000" w:rsidR="00000000" w:rsidRPr="00000000">
        <w:rPr>
          <w:rFonts w:ascii="Verdana" w:cs="Verdana" w:eastAsia="Verdana" w:hAnsi="Verdana"/>
          <w:sz w:val="20"/>
          <w:szCs w:val="20"/>
          <w:highlight w:val="white"/>
          <w:rtl w:val="0"/>
        </w:rPr>
        <w:t xml:space="preserve">Cúrcuma</w:t>
      </w:r>
      <w:r w:rsidDel="00000000" w:rsidR="00000000" w:rsidRPr="00000000">
        <w:rPr>
          <w:rFonts w:ascii="Verdana" w:cs="Verdana" w:eastAsia="Verdana" w:hAnsi="Verdana"/>
          <w:color w:val="000000"/>
          <w:sz w:val="20"/>
          <w:szCs w:val="20"/>
          <w:highlight w:val="white"/>
          <w:rtl w:val="0"/>
        </w:rPr>
        <w:t xml:space="preserve"> </w:t>
      </w:r>
      <w:r w:rsidDel="00000000" w:rsidR="00000000" w:rsidRPr="00000000">
        <w:rPr>
          <w:rFonts w:ascii="Verdana" w:cs="Verdana" w:eastAsia="Verdana" w:hAnsi="Verdana"/>
          <w:sz w:val="20"/>
          <w:szCs w:val="20"/>
          <w:highlight w:val="white"/>
          <w:rtl w:val="0"/>
        </w:rPr>
        <w:t xml:space="preserve">(Colorante natural)</w:t>
      </w: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sz w:val="20"/>
          <w:szCs w:val="20"/>
          <w:highlight w:val="white"/>
        </w:rPr>
      </w:pPr>
      <w:r w:rsidDel="00000000" w:rsidR="00000000" w:rsidRPr="00000000">
        <w:rPr>
          <w:rFonts w:ascii="Verdana" w:cs="Verdana" w:eastAsia="Verdana" w:hAnsi="Verdana"/>
          <w:sz w:val="20"/>
          <w:szCs w:val="20"/>
          <w:highlight w:val="white"/>
          <w:rtl w:val="0"/>
        </w:rPr>
        <w:t xml:space="preserve">C</w:t>
      </w:r>
      <w:r w:rsidDel="00000000" w:rsidR="00000000" w:rsidRPr="00000000">
        <w:rPr>
          <w:rFonts w:ascii="Verdana" w:cs="Verdana" w:eastAsia="Verdana" w:hAnsi="Verdana"/>
          <w:color w:val="000000"/>
          <w:sz w:val="20"/>
          <w:szCs w:val="20"/>
          <w:highlight w:val="white"/>
          <w:rtl w:val="0"/>
        </w:rPr>
        <w:t xml:space="preserve">olecalciferol (vitamina D3)</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sz w:val="20"/>
          <w:szCs w:val="20"/>
          <w:highlight w:val="white"/>
        </w:rPr>
      </w:pPr>
      <w:r w:rsidDel="00000000" w:rsidR="00000000" w:rsidRPr="00000000">
        <w:rPr>
          <w:rFonts w:ascii="Verdana" w:cs="Verdana" w:eastAsia="Verdana" w:hAnsi="Verdana"/>
          <w:sz w:val="20"/>
          <w:szCs w:val="20"/>
          <w:highlight w:val="white"/>
          <w:rtl w:val="0"/>
        </w:rPr>
        <w:t xml:space="preserve">C</w:t>
      </w:r>
      <w:r w:rsidDel="00000000" w:rsidR="00000000" w:rsidRPr="00000000">
        <w:rPr>
          <w:rFonts w:ascii="Verdana" w:cs="Verdana" w:eastAsia="Verdana" w:hAnsi="Verdana"/>
          <w:color w:val="000000"/>
          <w:sz w:val="20"/>
          <w:szCs w:val="20"/>
          <w:highlight w:val="white"/>
          <w:rtl w:val="0"/>
        </w:rPr>
        <w:t xml:space="preserve">ianocobalamina (vitamina B12)</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sz w:val="20"/>
          <w:szCs w:val="20"/>
          <w:highlight w:val="white"/>
        </w:rPr>
      </w:pPr>
      <w:r w:rsidDel="00000000" w:rsidR="00000000" w:rsidRPr="00000000">
        <w:rPr>
          <w:rFonts w:ascii="Verdana" w:cs="Verdana" w:eastAsia="Verdana" w:hAnsi="Verdana"/>
          <w:sz w:val="20"/>
          <w:szCs w:val="20"/>
          <w:highlight w:val="white"/>
          <w:rtl w:val="0"/>
        </w:rPr>
        <w:t xml:space="preserve">M</w:t>
      </w:r>
      <w:r w:rsidDel="00000000" w:rsidR="00000000" w:rsidRPr="00000000">
        <w:rPr>
          <w:rFonts w:ascii="Verdana" w:cs="Verdana" w:eastAsia="Verdana" w:hAnsi="Verdana"/>
          <w:color w:val="000000"/>
          <w:sz w:val="20"/>
          <w:szCs w:val="20"/>
          <w:highlight w:val="white"/>
          <w:rtl w:val="0"/>
        </w:rPr>
        <w:t xml:space="preserve">ononitrato de tiamina (vitamina B1)</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sz w:val="20"/>
          <w:szCs w:val="20"/>
          <w:highlight w:val="white"/>
        </w:rPr>
      </w:pPr>
      <w:r w:rsidDel="00000000" w:rsidR="00000000" w:rsidRPr="00000000">
        <w:rPr>
          <w:rFonts w:ascii="Verdana" w:cs="Verdana" w:eastAsia="Verdana" w:hAnsi="Verdana"/>
          <w:sz w:val="20"/>
          <w:szCs w:val="20"/>
          <w:highlight w:val="white"/>
          <w:rtl w:val="0"/>
        </w:rPr>
        <w:t xml:space="preserve">P</w:t>
      </w:r>
      <w:r w:rsidDel="00000000" w:rsidR="00000000" w:rsidRPr="00000000">
        <w:rPr>
          <w:rFonts w:ascii="Verdana" w:cs="Verdana" w:eastAsia="Verdana" w:hAnsi="Verdana"/>
          <w:color w:val="000000"/>
          <w:sz w:val="20"/>
          <w:szCs w:val="20"/>
          <w:highlight w:val="white"/>
          <w:rtl w:val="0"/>
        </w:rPr>
        <w:t xml:space="preserve">iridoxina (vitamina B6)</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sz w:val="20"/>
          <w:szCs w:val="20"/>
          <w:highlight w:val="white"/>
        </w:rPr>
      </w:pPr>
      <w:r w:rsidDel="00000000" w:rsidR="00000000" w:rsidRPr="00000000">
        <w:rPr>
          <w:rFonts w:ascii="Verdana" w:cs="Verdana" w:eastAsia="Verdana" w:hAnsi="Verdana"/>
          <w:sz w:val="20"/>
          <w:szCs w:val="20"/>
          <w:highlight w:val="white"/>
          <w:rtl w:val="0"/>
        </w:rPr>
        <w:t xml:space="preserve">Á</w:t>
      </w:r>
      <w:r w:rsidDel="00000000" w:rsidR="00000000" w:rsidRPr="00000000">
        <w:rPr>
          <w:rFonts w:ascii="Verdana" w:cs="Verdana" w:eastAsia="Verdana" w:hAnsi="Verdana"/>
          <w:color w:val="000000"/>
          <w:sz w:val="20"/>
          <w:szCs w:val="20"/>
          <w:highlight w:val="white"/>
          <w:rtl w:val="0"/>
        </w:rPr>
        <w:t xml:space="preserve">cido fólico.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D">
      <w:pPr>
        <w:tabs>
          <w:tab w:val="left" w:pos="284"/>
        </w:tabs>
        <w:spacing w:after="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Otros ingredientes declarados en etiqueta:</w:t>
      </w:r>
    </w:p>
    <w:p w:rsidR="00000000" w:rsidDel="00000000" w:rsidP="00000000" w:rsidRDefault="00000000" w:rsidRPr="00000000" w14:paraId="0000002E">
      <w:pPr>
        <w:tabs>
          <w:tab w:val="left" w:pos="284"/>
        </w:tabs>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F">
      <w:pPr>
        <w:numPr>
          <w:ilvl w:val="0"/>
          <w:numId w:val="3"/>
        </w:numPr>
        <w:tabs>
          <w:tab w:val="left" w:pos="284"/>
        </w:tabs>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Avena y trigo (gluten)</w:t>
      </w:r>
    </w:p>
    <w:p w:rsidR="00000000" w:rsidDel="00000000" w:rsidP="00000000" w:rsidRDefault="00000000" w:rsidRPr="00000000" w14:paraId="00000030">
      <w:pPr>
        <w:numPr>
          <w:ilvl w:val="0"/>
          <w:numId w:val="3"/>
        </w:numPr>
        <w:tabs>
          <w:tab w:val="left" w:pos="284"/>
        </w:tabs>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Trazas de Soya</w:t>
      </w:r>
    </w:p>
    <w:p w:rsidR="00000000" w:rsidDel="00000000" w:rsidP="00000000" w:rsidRDefault="00000000" w:rsidRPr="00000000" w14:paraId="00000031">
      <w:pPr>
        <w:tabs>
          <w:tab w:val="left" w:pos="284"/>
        </w:tabs>
        <w:spacing w:after="0" w:line="240"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tabs>
          <w:tab w:val="left" w:pos="-5"/>
        </w:tabs>
        <w:spacing w:after="0" w:line="240" w:lineRule="auto"/>
        <w:jc w:val="both"/>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Nutrientes críticos en los Froot Loops:</w:t>
      </w:r>
    </w:p>
    <w:p w:rsidR="00000000" w:rsidDel="00000000" w:rsidP="00000000" w:rsidRDefault="00000000" w:rsidRPr="00000000" w14:paraId="00000033">
      <w:pPr>
        <w:spacing w:after="0" w:line="240" w:lineRule="auto"/>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4">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Cada porción de 30 gramos (¾ de taza) aportan un total de 120 Calorías.</w:t>
      </w:r>
    </w:p>
    <w:p w:rsidR="00000000" w:rsidDel="00000000" w:rsidP="00000000" w:rsidRDefault="00000000" w:rsidRPr="00000000" w14:paraId="00000035">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numPr>
          <w:ilvl w:val="0"/>
          <w:numId w:val="1"/>
        </w:numPr>
        <w:tabs>
          <w:tab w:val="left" w:pos="567"/>
        </w:tabs>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i w:val="1"/>
          <w:sz w:val="20"/>
          <w:szCs w:val="20"/>
          <w:u w:val="single"/>
          <w:rtl w:val="0"/>
        </w:rPr>
        <w:t xml:space="preserve">Sodio</w:t>
      </w:r>
      <w:r w:rsidDel="00000000" w:rsidR="00000000" w:rsidRPr="00000000">
        <w:rPr>
          <w:rFonts w:ascii="Verdana" w:cs="Verdana" w:eastAsia="Verdana" w:hAnsi="Verdana"/>
          <w:sz w:val="20"/>
          <w:szCs w:val="20"/>
          <w:vertAlign w:val="superscript"/>
        </w:rPr>
        <w:footnoteReference w:customMarkFollows="0" w:id="0"/>
      </w:r>
      <w:r w:rsidDel="00000000" w:rsidR="00000000" w:rsidRPr="00000000">
        <w:rPr>
          <w:rFonts w:ascii="Verdana" w:cs="Verdana" w:eastAsia="Verdana" w:hAnsi="Verdana"/>
          <w:sz w:val="20"/>
          <w:szCs w:val="20"/>
          <w:rtl w:val="0"/>
        </w:rPr>
        <w:t xml:space="preserve">: según los criterios de la Organización Panamericana de la Salud (OPS), este producto excede la cantidad de sodio recomendada. El producto aporta 140 miligramos (mg) de sodio frente a las 120 calorías, por lo que excede la cantidad recomendada de sodio en 20 mg.</w:t>
      </w:r>
    </w:p>
    <w:p w:rsidR="00000000" w:rsidDel="00000000" w:rsidP="00000000" w:rsidRDefault="00000000" w:rsidRPr="00000000" w14:paraId="00000037">
      <w:pPr>
        <w:tabs>
          <w:tab w:val="left" w:pos="567"/>
        </w:tabs>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numPr>
          <w:ilvl w:val="0"/>
          <w:numId w:val="1"/>
        </w:numPr>
        <w:spacing w:after="0" w:lineRule="auto"/>
        <w:ind w:left="720" w:hanging="360"/>
        <w:jc w:val="both"/>
        <w:rPr>
          <w:sz w:val="20"/>
          <w:szCs w:val="20"/>
        </w:rPr>
      </w:pPr>
      <w:r w:rsidDel="00000000" w:rsidR="00000000" w:rsidRPr="00000000">
        <w:rPr>
          <w:rFonts w:ascii="Verdana" w:cs="Verdana" w:eastAsia="Verdana" w:hAnsi="Verdana"/>
          <w:i w:val="1"/>
          <w:sz w:val="20"/>
          <w:szCs w:val="20"/>
          <w:u w:val="single"/>
          <w:rtl w:val="0"/>
        </w:rPr>
        <w:t xml:space="preserve">Azúcares libres</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Fonts w:ascii="Verdana" w:cs="Verdana" w:eastAsia="Verdana" w:hAnsi="Verdana"/>
          <w:sz w:val="20"/>
          <w:szCs w:val="20"/>
          <w:rtl w:val="0"/>
        </w:rPr>
        <w:t xml:space="preserve">: según los criterios de la Organización Panamericana de la Salud (OPS), este producto contiene cuatro veces la cantidad recomendada de azúcares libres, el 40% de las Calorías totales del producto. Del total de Calorías del producto (120), 48 Calorías provienen de 12 gramos de azúcares.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000000"/>
          <w:sz w:val="20"/>
          <w:szCs w:val="20"/>
          <w:highlight w:val="white"/>
        </w:rPr>
      </w:pPr>
      <w:r w:rsidDel="00000000" w:rsidR="00000000" w:rsidRPr="00000000">
        <w:rPr>
          <w:rFonts w:ascii="Verdana" w:cs="Verdana" w:eastAsia="Verdana" w:hAnsi="Verdana"/>
          <w:b w:val="1"/>
          <w:color w:val="000000"/>
          <w:sz w:val="20"/>
          <w:szCs w:val="20"/>
          <w:highlight w:val="white"/>
          <w:rtl w:val="0"/>
        </w:rPr>
        <w:t xml:space="preserve">Aditivos que contiene este producto:</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spacing w:after="0" w:line="240" w:lineRule="auto"/>
        <w:ind w:left="426" w:hanging="360"/>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Saborizantes naturales de naranja, limón, arándanos, cereza, uva, lima-limón: </w:t>
      </w:r>
      <w:r w:rsidDel="00000000" w:rsidR="00000000" w:rsidRPr="00000000">
        <w:rPr>
          <w:rFonts w:ascii="Verdana" w:cs="Verdana" w:eastAsia="Verdana" w:hAnsi="Verdana"/>
          <w:sz w:val="20"/>
          <w:szCs w:val="20"/>
          <w:highlight w:val="white"/>
          <w:rtl w:val="0"/>
        </w:rPr>
        <w:t xml:space="preserve">N</w:t>
      </w:r>
      <w:r w:rsidDel="00000000" w:rsidR="00000000" w:rsidRPr="00000000">
        <w:rPr>
          <w:rFonts w:ascii="Verdana" w:cs="Verdana" w:eastAsia="Verdana" w:hAnsi="Verdana"/>
          <w:color w:val="000000"/>
          <w:sz w:val="20"/>
          <w:szCs w:val="20"/>
          <w:highlight w:val="white"/>
          <w:rtl w:val="0"/>
        </w:rPr>
        <w:t xml:space="preserve">o se pueden identificar ya que no se reporta los tipos de aditivos para estos sabores.</w:t>
      </w:r>
    </w:p>
    <w:p w:rsidR="00000000" w:rsidDel="00000000" w:rsidP="00000000" w:rsidRDefault="00000000" w:rsidRPr="00000000" w14:paraId="0000003D">
      <w:pPr>
        <w:numPr>
          <w:ilvl w:val="1"/>
          <w:numId w:val="2"/>
        </w:numPr>
        <w:pBdr>
          <w:top w:space="0" w:sz="0" w:val="nil"/>
          <w:left w:space="0" w:sz="0" w:val="nil"/>
          <w:bottom w:space="0" w:sz="0" w:val="nil"/>
          <w:right w:space="0" w:sz="0" w:val="nil"/>
          <w:between w:space="0" w:sz="0" w:val="nil"/>
        </w:pBdr>
        <w:spacing w:after="0" w:line="240" w:lineRule="auto"/>
        <w:ind w:left="426" w:hanging="360"/>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Rojo allura (E-129): </w:t>
      </w:r>
      <w:r w:rsidDel="00000000" w:rsidR="00000000" w:rsidRPr="00000000">
        <w:rPr>
          <w:rFonts w:ascii="Verdana" w:cs="Verdana" w:eastAsia="Verdana" w:hAnsi="Verdana"/>
          <w:sz w:val="20"/>
          <w:szCs w:val="20"/>
          <w:highlight w:val="white"/>
          <w:rtl w:val="0"/>
        </w:rPr>
        <w:t xml:space="preserve">T</w:t>
      </w:r>
      <w:r w:rsidDel="00000000" w:rsidR="00000000" w:rsidRPr="00000000">
        <w:rPr>
          <w:rFonts w:ascii="Verdana" w:cs="Verdana" w:eastAsia="Verdana" w:hAnsi="Verdana"/>
          <w:color w:val="000000"/>
          <w:sz w:val="20"/>
          <w:szCs w:val="20"/>
          <w:highlight w:val="white"/>
          <w:rtl w:val="0"/>
        </w:rPr>
        <w:t xml:space="preserve">ambién llamado rojo N°40, es un colorante sintético que según estudios de 2007 y 2012 puede tener un efecto en el comportamiento de niñas y niños, que presentaban o no trastornos por déficit de atención o hiperactividad (</w:t>
      </w:r>
      <w:r w:rsidDel="00000000" w:rsidR="00000000" w:rsidRPr="00000000">
        <w:rPr>
          <w:rFonts w:ascii="Verdana" w:cs="Verdana" w:eastAsia="Verdana" w:hAnsi="Verdana"/>
          <w:sz w:val="20"/>
          <w:szCs w:val="20"/>
          <w:highlight w:val="white"/>
          <w:rtl w:val="0"/>
        </w:rPr>
        <w:t xml:space="preserve">5</w:t>
      </w:r>
      <w:r w:rsidDel="00000000" w:rsidR="00000000" w:rsidRPr="00000000">
        <w:rPr>
          <w:rFonts w:ascii="Verdana" w:cs="Verdana" w:eastAsia="Verdana" w:hAnsi="Verdana"/>
          <w:color w:val="000000"/>
          <w:sz w:val="20"/>
          <w:szCs w:val="20"/>
          <w:highlight w:val="white"/>
          <w:rtl w:val="0"/>
        </w:rPr>
        <w:t xml:space="preserve">)(</w:t>
      </w:r>
      <w:r w:rsidDel="00000000" w:rsidR="00000000" w:rsidRPr="00000000">
        <w:rPr>
          <w:rFonts w:ascii="Verdana" w:cs="Verdana" w:eastAsia="Verdana" w:hAnsi="Verdana"/>
          <w:sz w:val="20"/>
          <w:szCs w:val="20"/>
          <w:highlight w:val="white"/>
          <w:rtl w:val="0"/>
        </w:rPr>
        <w:t xml:space="preserve">6</w:t>
      </w:r>
      <w:r w:rsidDel="00000000" w:rsidR="00000000" w:rsidRPr="00000000">
        <w:rPr>
          <w:rFonts w:ascii="Verdana" w:cs="Verdana" w:eastAsia="Verdana" w:hAnsi="Verdana"/>
          <w:color w:val="000000"/>
          <w:sz w:val="20"/>
          <w:szCs w:val="20"/>
          <w:highlight w:val="white"/>
          <w:rtl w:val="0"/>
        </w:rPr>
        <w:t xml:space="preserve">)</w:t>
      </w:r>
      <w:r w:rsidDel="00000000" w:rsidR="00000000" w:rsidRPr="00000000">
        <w:rPr>
          <w:rFonts w:ascii="Verdana" w:cs="Verdana" w:eastAsia="Verdana" w:hAnsi="Verdana"/>
          <w:sz w:val="20"/>
          <w:szCs w:val="20"/>
          <w:highlight w:val="white"/>
          <w:rtl w:val="0"/>
        </w:rPr>
        <w:t xml:space="preserve">. </w:t>
      </w:r>
      <w:r w:rsidDel="00000000" w:rsidR="00000000" w:rsidRPr="00000000">
        <w:rPr>
          <w:rFonts w:ascii="Verdana" w:cs="Verdana" w:eastAsia="Verdana" w:hAnsi="Verdana"/>
          <w:color w:val="000000"/>
          <w:sz w:val="20"/>
          <w:szCs w:val="20"/>
          <w:highlight w:val="white"/>
          <w:rtl w:val="0"/>
        </w:rPr>
        <w:t xml:space="preserve"> </w:t>
      </w:r>
      <w:r w:rsidDel="00000000" w:rsidR="00000000" w:rsidRPr="00000000">
        <w:rPr>
          <w:rFonts w:ascii="Verdana" w:cs="Verdana" w:eastAsia="Verdana" w:hAnsi="Verdana"/>
          <w:sz w:val="20"/>
          <w:szCs w:val="20"/>
          <w:highlight w:val="white"/>
          <w:rtl w:val="0"/>
        </w:rPr>
        <w:t xml:space="preserve">N</w:t>
      </w:r>
      <w:r w:rsidDel="00000000" w:rsidR="00000000" w:rsidRPr="00000000">
        <w:rPr>
          <w:rFonts w:ascii="Verdana" w:cs="Verdana" w:eastAsia="Verdana" w:hAnsi="Verdana"/>
          <w:color w:val="000000"/>
          <w:sz w:val="20"/>
          <w:szCs w:val="20"/>
          <w:highlight w:val="white"/>
          <w:rtl w:val="0"/>
        </w:rPr>
        <w:t xml:space="preserve">o se permite el uso de este aditivo en Estados Unidos e India (</w:t>
      </w:r>
      <w:r w:rsidDel="00000000" w:rsidR="00000000" w:rsidRPr="00000000">
        <w:rPr>
          <w:rFonts w:ascii="Verdana" w:cs="Verdana" w:eastAsia="Verdana" w:hAnsi="Verdana"/>
          <w:sz w:val="20"/>
          <w:szCs w:val="20"/>
          <w:highlight w:val="white"/>
          <w:rtl w:val="0"/>
        </w:rPr>
        <w:t xml:space="preserve">7</w:t>
      </w:r>
      <w:r w:rsidDel="00000000" w:rsidR="00000000" w:rsidRPr="00000000">
        <w:rPr>
          <w:rFonts w:ascii="Verdana" w:cs="Verdana" w:eastAsia="Verdana" w:hAnsi="Verdana"/>
          <w:color w:val="000000"/>
          <w:sz w:val="20"/>
          <w:szCs w:val="20"/>
          <w:highlight w:val="white"/>
          <w:rtl w:val="0"/>
        </w:rPr>
        <w:t xml:space="preserve">). A pesar de que en bajas cantidades no se ha encontrado </w:t>
      </w:r>
      <w:r w:rsidDel="00000000" w:rsidR="00000000" w:rsidRPr="00000000">
        <w:rPr>
          <w:rFonts w:ascii="Verdana" w:cs="Verdana" w:eastAsia="Verdana" w:hAnsi="Verdana"/>
          <w:sz w:val="20"/>
          <w:szCs w:val="20"/>
          <w:highlight w:val="white"/>
          <w:rtl w:val="0"/>
        </w:rPr>
        <w:t xml:space="preserve">que sea</w:t>
      </w:r>
      <w:r w:rsidDel="00000000" w:rsidR="00000000" w:rsidRPr="00000000">
        <w:rPr>
          <w:rFonts w:ascii="Verdana" w:cs="Verdana" w:eastAsia="Verdana" w:hAnsi="Verdana"/>
          <w:color w:val="000000"/>
          <w:sz w:val="20"/>
          <w:szCs w:val="20"/>
          <w:highlight w:val="white"/>
          <w:rtl w:val="0"/>
        </w:rPr>
        <w:t xml:space="preserve"> dañino para la salud, un estudio de 2006 realizado en niñas y niños de entre 5 a 14 años en Kuwait, </w:t>
      </w:r>
      <w:r w:rsidDel="00000000" w:rsidR="00000000" w:rsidRPr="00000000">
        <w:rPr>
          <w:rFonts w:ascii="Verdana" w:cs="Verdana" w:eastAsia="Verdana" w:hAnsi="Verdana"/>
          <w:sz w:val="20"/>
          <w:szCs w:val="20"/>
          <w:highlight w:val="white"/>
          <w:rtl w:val="0"/>
        </w:rPr>
        <w:t xml:space="preserve">concluyó</w:t>
      </w:r>
      <w:r w:rsidDel="00000000" w:rsidR="00000000" w:rsidRPr="00000000">
        <w:rPr>
          <w:rFonts w:ascii="Verdana" w:cs="Verdana" w:eastAsia="Verdana" w:hAnsi="Verdana"/>
          <w:color w:val="000000"/>
          <w:sz w:val="20"/>
          <w:szCs w:val="20"/>
          <w:highlight w:val="white"/>
          <w:rtl w:val="0"/>
        </w:rPr>
        <w:t xml:space="preserve"> que este y otros aditivos eran consumidos en mayor cantidad a la recomendada debido a la presencia de estos en diversos productos comestibles (</w:t>
      </w:r>
      <w:r w:rsidDel="00000000" w:rsidR="00000000" w:rsidRPr="00000000">
        <w:rPr>
          <w:rFonts w:ascii="Verdana" w:cs="Verdana" w:eastAsia="Verdana" w:hAnsi="Verdana"/>
          <w:sz w:val="20"/>
          <w:szCs w:val="20"/>
          <w:highlight w:val="white"/>
          <w:rtl w:val="0"/>
        </w:rPr>
        <w:t xml:space="preserve">8</w:t>
      </w:r>
      <w:r w:rsidDel="00000000" w:rsidR="00000000" w:rsidRPr="00000000">
        <w:rPr>
          <w:rFonts w:ascii="Verdana" w:cs="Verdana" w:eastAsia="Verdana" w:hAnsi="Verdana"/>
          <w:color w:val="000000"/>
          <w:sz w:val="20"/>
          <w:szCs w:val="20"/>
          <w:highlight w:val="white"/>
          <w:rtl w:val="0"/>
        </w:rPr>
        <w:t xml:space="preserve">).</w:t>
      </w:r>
      <w:r w:rsidDel="00000000" w:rsidR="00000000" w:rsidRPr="00000000">
        <w:rPr>
          <w:rFonts w:ascii="Verdana" w:cs="Verdana" w:eastAsia="Verdana" w:hAnsi="Verdana"/>
          <w:sz w:val="20"/>
          <w:szCs w:val="20"/>
          <w:highlight w:val="white"/>
          <w:rtl w:val="0"/>
        </w:rPr>
        <w:t xml:space="preserve"> </w:t>
      </w:r>
      <w:r w:rsidDel="00000000" w:rsidR="00000000" w:rsidRPr="00000000">
        <w:rPr>
          <w:rFonts w:ascii="Verdana" w:cs="Verdana" w:eastAsia="Verdana" w:hAnsi="Verdana"/>
          <w:sz w:val="20"/>
          <w:szCs w:val="20"/>
          <w:highlight w:val="white"/>
          <w:u w:val="single"/>
          <w:rtl w:val="0"/>
        </w:rPr>
        <w:t xml:space="preserve">Este aditivo tiene potencial efecto nocivo para la salud.</w:t>
      </w:r>
      <w:r w:rsidDel="00000000" w:rsidR="00000000" w:rsidRPr="00000000">
        <w:rPr>
          <w:rtl w:val="0"/>
        </w:rPr>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spacing w:after="0" w:line="240" w:lineRule="auto"/>
        <w:ind w:left="426" w:hanging="360"/>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Amarillo Ocaso FCF (E-110): También llamado amarillo Nº6 (usado como colorante sintético) según un estudio del año 2012 provoca reacciones de hipersensibilidad y se encuentra contaminado con bencidina y otros carcinógenos (13). </w:t>
      </w:r>
      <w:r w:rsidDel="00000000" w:rsidR="00000000" w:rsidRPr="00000000">
        <w:rPr>
          <w:rFonts w:ascii="Verdana" w:cs="Verdana" w:eastAsia="Verdana" w:hAnsi="Verdana"/>
          <w:sz w:val="20"/>
          <w:szCs w:val="20"/>
          <w:highlight w:val="white"/>
          <w:u w:val="single"/>
          <w:rtl w:val="0"/>
        </w:rPr>
        <w:t xml:space="preserve">Este aditivo tiene potencial efecto nocivo para la salud.</w:t>
      </w:r>
      <w:r w:rsidDel="00000000" w:rsidR="00000000" w:rsidRPr="00000000">
        <w:rPr>
          <w:rtl w:val="0"/>
        </w:rPr>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pacing w:after="0" w:line="240" w:lineRule="auto"/>
        <w:ind w:left="426" w:hanging="360"/>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Azul Brillante FCF (E-133): </w:t>
      </w:r>
      <w:r w:rsidDel="00000000" w:rsidR="00000000" w:rsidRPr="00000000">
        <w:rPr>
          <w:rFonts w:ascii="Verdana" w:cs="Verdana" w:eastAsia="Verdana" w:hAnsi="Verdana"/>
          <w:sz w:val="20"/>
          <w:szCs w:val="20"/>
          <w:highlight w:val="white"/>
          <w:rtl w:val="0"/>
        </w:rPr>
        <w:t xml:space="preserve">T</w:t>
      </w:r>
      <w:r w:rsidDel="00000000" w:rsidR="00000000" w:rsidRPr="00000000">
        <w:rPr>
          <w:rFonts w:ascii="Verdana" w:cs="Verdana" w:eastAsia="Verdana" w:hAnsi="Verdana"/>
          <w:color w:val="000000"/>
          <w:sz w:val="20"/>
          <w:szCs w:val="20"/>
          <w:highlight w:val="white"/>
          <w:rtl w:val="0"/>
        </w:rPr>
        <w:t xml:space="preserve">ambién llamado azul #1 es un colorante sintético, derivado del petróleo que, según un artículo de 2013, puede afectar la función hepática. </w:t>
      </w:r>
      <w:r w:rsidDel="00000000" w:rsidR="00000000" w:rsidRPr="00000000">
        <w:rPr>
          <w:rFonts w:ascii="Verdana" w:cs="Verdana" w:eastAsia="Verdana" w:hAnsi="Verdana"/>
          <w:sz w:val="20"/>
          <w:szCs w:val="20"/>
          <w:highlight w:val="white"/>
          <w:rtl w:val="0"/>
        </w:rPr>
        <w:t xml:space="preserve">L</w:t>
      </w:r>
      <w:r w:rsidDel="00000000" w:rsidR="00000000" w:rsidRPr="00000000">
        <w:rPr>
          <w:rFonts w:ascii="Verdana" w:cs="Verdana" w:eastAsia="Verdana" w:hAnsi="Verdana"/>
          <w:color w:val="000000"/>
          <w:sz w:val="20"/>
          <w:szCs w:val="20"/>
          <w:highlight w:val="white"/>
          <w:rtl w:val="0"/>
        </w:rPr>
        <w:t xml:space="preserve">os mecanismos de acción aún no se encuentran descritos </w:t>
      </w:r>
      <w:r w:rsidDel="00000000" w:rsidR="00000000" w:rsidRPr="00000000">
        <w:rPr>
          <w:rFonts w:ascii="Verdana" w:cs="Verdana" w:eastAsia="Verdana" w:hAnsi="Verdana"/>
          <w:sz w:val="20"/>
          <w:szCs w:val="20"/>
          <w:highlight w:val="white"/>
          <w:rtl w:val="0"/>
        </w:rPr>
        <w:t xml:space="preserve">(10</w:t>
      </w:r>
      <w:r w:rsidDel="00000000" w:rsidR="00000000" w:rsidRPr="00000000">
        <w:rPr>
          <w:rFonts w:ascii="Verdana" w:cs="Verdana" w:eastAsia="Verdana" w:hAnsi="Verdana"/>
          <w:color w:val="000000"/>
          <w:sz w:val="20"/>
          <w:szCs w:val="20"/>
          <w:highlight w:val="white"/>
          <w:rtl w:val="0"/>
        </w:rPr>
        <w:t xml:space="preserve">). </w:t>
      </w:r>
      <w:r w:rsidDel="00000000" w:rsidR="00000000" w:rsidRPr="00000000">
        <w:rPr>
          <w:rFonts w:ascii="Verdana" w:cs="Verdana" w:eastAsia="Verdana" w:hAnsi="Verdana"/>
          <w:sz w:val="20"/>
          <w:szCs w:val="20"/>
          <w:highlight w:val="white"/>
          <w:u w:val="single"/>
          <w:rtl w:val="0"/>
        </w:rPr>
        <w:t xml:space="preserve">Este aditivo tiene potencial efecto nocivo para la salud.</w:t>
      </w:r>
      <w:r w:rsidDel="00000000" w:rsidR="00000000" w:rsidRPr="00000000">
        <w:rPr>
          <w:rtl w:val="0"/>
        </w:rPr>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spacing w:after="0" w:line="240" w:lineRule="auto"/>
        <w:ind w:left="426" w:hanging="360"/>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Betacaroteno (E-160</w:t>
      </w:r>
      <w:r w:rsidDel="00000000" w:rsidR="00000000" w:rsidRPr="00000000">
        <w:rPr>
          <w:rFonts w:ascii="Verdana" w:cs="Verdana" w:eastAsia="Verdana" w:hAnsi="Verdana"/>
          <w:sz w:val="20"/>
          <w:szCs w:val="20"/>
          <w:highlight w:val="white"/>
          <w:rtl w:val="0"/>
        </w:rPr>
        <w:t xml:space="preserve">A</w:t>
      </w:r>
      <w:r w:rsidDel="00000000" w:rsidR="00000000" w:rsidRPr="00000000">
        <w:rPr>
          <w:rFonts w:ascii="Verdana" w:cs="Verdana" w:eastAsia="Verdana" w:hAnsi="Verdana"/>
          <w:color w:val="000000"/>
          <w:sz w:val="20"/>
          <w:szCs w:val="20"/>
          <w:highlight w:val="white"/>
          <w:rtl w:val="0"/>
        </w:rPr>
        <w:t xml:space="preserve">): </w:t>
      </w:r>
      <w:r w:rsidDel="00000000" w:rsidR="00000000" w:rsidRPr="00000000">
        <w:rPr>
          <w:rFonts w:ascii="Verdana" w:cs="Verdana" w:eastAsia="Verdana" w:hAnsi="Verdana"/>
          <w:sz w:val="20"/>
          <w:szCs w:val="20"/>
          <w:highlight w:val="white"/>
          <w:rtl w:val="0"/>
        </w:rPr>
        <w:t xml:space="preserve">C</w:t>
      </w:r>
      <w:r w:rsidDel="00000000" w:rsidR="00000000" w:rsidRPr="00000000">
        <w:rPr>
          <w:rFonts w:ascii="Verdana" w:cs="Verdana" w:eastAsia="Verdana" w:hAnsi="Verdana"/>
          <w:color w:val="000000"/>
          <w:sz w:val="20"/>
          <w:szCs w:val="20"/>
          <w:highlight w:val="white"/>
          <w:rtl w:val="0"/>
        </w:rPr>
        <w:t xml:space="preserve">olorante natural o sintético (11).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709" w:hanging="283"/>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42">
      <w:pPr>
        <w:spacing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highlight w:val="white"/>
          <w:rtl w:val="0"/>
        </w:rPr>
        <w:t xml:space="preserve">Recomendaciones finales: </w:t>
      </w:r>
      <w:r w:rsidDel="00000000" w:rsidR="00000000" w:rsidRPr="00000000">
        <w:rPr>
          <w:rFonts w:ascii="Verdana" w:cs="Verdana" w:eastAsia="Verdana" w:hAnsi="Verdana"/>
          <w:sz w:val="20"/>
          <w:szCs w:val="20"/>
          <w:highlight w:val="white"/>
          <w:rtl w:val="0"/>
        </w:rPr>
        <w:t xml:space="preserve">Una buena alternativa a este producto es el consumo de cereales sin adición de azúcar (avena en hojuelas o arroz inflado, entre otros), otra opción son las granolas preparadas en casa con adición de frutos secos, sin exceso de azúcares y sin aditivos añadidos. </w:t>
      </w:r>
      <w:r w:rsidDel="00000000" w:rsidR="00000000" w:rsidRPr="00000000">
        <w:rPr>
          <w:rtl w:val="0"/>
        </w:rPr>
      </w:r>
    </w:p>
    <w:p w:rsidR="00000000" w:rsidDel="00000000" w:rsidP="00000000" w:rsidRDefault="00000000" w:rsidRPr="00000000" w14:paraId="00000043">
      <w:pPr>
        <w:spacing w:after="0" w:line="240" w:lineRule="auto"/>
        <w:ind w:hanging="2"/>
        <w:jc w:val="both"/>
        <w:rPr>
          <w:rFonts w:ascii="Verdana" w:cs="Verdana" w:eastAsia="Verdana" w:hAnsi="Verdana"/>
          <w:sz w:val="20"/>
          <w:szCs w:val="20"/>
          <w:highlight w:val="white"/>
        </w:rPr>
      </w:pPr>
      <w:r w:rsidDel="00000000" w:rsidR="00000000" w:rsidRPr="00000000">
        <w:rPr>
          <w:rFonts w:ascii="Verdana" w:cs="Verdana" w:eastAsia="Verdana" w:hAnsi="Verdana"/>
          <w:i w:val="1"/>
          <w:sz w:val="20"/>
          <w:szCs w:val="20"/>
          <w:rtl w:val="0"/>
        </w:rPr>
        <w:t xml:space="preserve">Nota: </w:t>
      </w:r>
      <w:r w:rsidDel="00000000" w:rsidR="00000000" w:rsidRPr="00000000">
        <w:rPr>
          <w:rFonts w:ascii="Verdana" w:cs="Verdana" w:eastAsia="Verdana" w:hAnsi="Verdana"/>
          <w:sz w:val="20"/>
          <w:szCs w:val="20"/>
          <w:rtl w:val="0"/>
        </w:rPr>
        <w:t xml:space="preserve">Para más información consultar el documento “Anexo técnico radiografías”</w:t>
      </w:r>
      <w:r w:rsidDel="00000000" w:rsidR="00000000" w:rsidRPr="00000000">
        <w:rPr>
          <w:rtl w:val="0"/>
        </w:rPr>
      </w:r>
    </w:p>
    <w:p w:rsidR="00000000" w:rsidDel="00000000" w:rsidP="00000000" w:rsidRDefault="00000000" w:rsidRPr="00000000" w14:paraId="00000044">
      <w:pPr>
        <w:spacing w:after="0" w:line="240" w:lineRule="auto"/>
        <w:ind w:hanging="2"/>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45">
      <w:pPr>
        <w:spacing w:after="0" w:line="240" w:lineRule="auto"/>
        <w:ind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Elaborado por: ND Paula Ardila, ND Yessica Gil</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sz w:val="20"/>
          <w:szCs w:val="20"/>
          <w:rtl w:val="0"/>
        </w:rPr>
        <w:t xml:space="preserve">, ND Kathleen Forbes</w:t>
      </w:r>
      <w:r w:rsidDel="00000000" w:rsidR="00000000" w:rsidRPr="00000000">
        <w:rPr>
          <w:rFonts w:ascii="Verdana" w:cs="Verdana" w:eastAsia="Verdana" w:hAnsi="Verdana"/>
          <w:sz w:val="20"/>
          <w:szCs w:val="20"/>
          <w:vertAlign w:val="superscript"/>
          <w:rtl w:val="0"/>
        </w:rPr>
        <w:t xml:space="preserve">4</w:t>
      </w:r>
      <w:r w:rsidDel="00000000" w:rsidR="00000000" w:rsidRPr="00000000">
        <w:rPr>
          <w:rFonts w:ascii="Verdana" w:cs="Verdana" w:eastAsia="Verdana" w:hAnsi="Verdana"/>
          <w:sz w:val="20"/>
          <w:szCs w:val="20"/>
          <w:rtl w:val="0"/>
        </w:rPr>
        <w:t xml:space="preserve">, ND Daniela Tinoco⁴, Fabián Avellaneda⁴.</w:t>
      </w:r>
    </w:p>
    <w:p w:rsidR="00000000" w:rsidDel="00000000" w:rsidP="00000000" w:rsidRDefault="00000000" w:rsidRPr="00000000" w14:paraId="00000046">
      <w:pPr>
        <w:spacing w:after="0" w:line="240" w:lineRule="auto"/>
        <w:ind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Revisó: ND Mercedes Mora Plazas, ND Ruben Orjuela, MSP Sharon Sánchez.</w:t>
      </w:r>
    </w:p>
    <w:p w:rsidR="00000000" w:rsidDel="00000000" w:rsidP="00000000" w:rsidRDefault="00000000" w:rsidRPr="00000000" w14:paraId="00000047">
      <w:pPr>
        <w:spacing w:line="240" w:lineRule="auto"/>
        <w:jc w:val="both"/>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48">
      <w:pPr>
        <w:spacing w:after="0" w:line="240" w:lineRule="auto"/>
        <w:ind w:hanging="2"/>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Bibliografía</w:t>
      </w:r>
      <w:r w:rsidDel="00000000" w:rsidR="00000000" w:rsidRPr="00000000">
        <w:rPr>
          <w:rtl w:val="0"/>
        </w:rPr>
      </w:r>
    </w:p>
    <w:p w:rsidR="00000000" w:rsidDel="00000000" w:rsidP="00000000" w:rsidRDefault="00000000" w:rsidRPr="00000000" w14:paraId="00000049">
      <w:pPr>
        <w:spacing w:after="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A">
      <w:pPr>
        <w:widowControl w:val="0"/>
        <w:numPr>
          <w:ilvl w:val="0"/>
          <w:numId w:val="5"/>
        </w:numPr>
        <w:spacing w:after="200" w:line="240" w:lineRule="auto"/>
        <w:ind w:left="720" w:hanging="360"/>
        <w:jc w:val="both"/>
        <w:rPr>
          <w:rFonts w:ascii="Verdana" w:cs="Verdana" w:eastAsia="Verdana" w:hAnsi="Verdana"/>
        </w:rPr>
      </w:pPr>
      <w:r w:rsidDel="00000000" w:rsidR="00000000" w:rsidRPr="00000000">
        <w:rPr>
          <w:rFonts w:ascii="Verdana" w:cs="Verdana" w:eastAsia="Verdana" w:hAnsi="Verdana"/>
          <w:sz w:val="20"/>
          <w:szCs w:val="20"/>
          <w:rtl w:val="0"/>
        </w:rPr>
        <w:t xml:space="preserve">Organización Panamericana de la Salud. (2016). Modelo de perfil de nutrientes de la Organización Panamericana de la Salud. Available from: </w:t>
      </w:r>
      <w:hyperlink r:id="rId8">
        <w:r w:rsidDel="00000000" w:rsidR="00000000" w:rsidRPr="00000000">
          <w:rPr>
            <w:rFonts w:ascii="Verdana" w:cs="Verdana" w:eastAsia="Verdana" w:hAnsi="Verdana"/>
            <w:color w:val="1155cc"/>
            <w:sz w:val="20"/>
            <w:szCs w:val="20"/>
            <w:u w:val="single"/>
            <w:rtl w:val="0"/>
          </w:rPr>
          <w:t xml:space="preserve">www.paho.org/permissions</w:t>
        </w:r>
      </w:hyperlink>
      <w:r w:rsidDel="00000000" w:rsidR="00000000" w:rsidRPr="00000000">
        <w:rPr>
          <w:rtl w:val="0"/>
        </w:rPr>
      </w:r>
    </w:p>
    <w:p w:rsidR="00000000" w:rsidDel="00000000" w:rsidP="00000000" w:rsidRDefault="00000000" w:rsidRPr="00000000" w14:paraId="0000004B">
      <w:pPr>
        <w:widowControl w:val="0"/>
        <w:numPr>
          <w:ilvl w:val="0"/>
          <w:numId w:val="5"/>
        </w:numPr>
        <w:spacing w:after="200" w:line="240" w:lineRule="auto"/>
        <w:ind w:left="720" w:hanging="360"/>
        <w:jc w:val="both"/>
        <w:rPr>
          <w:rFonts w:ascii="Verdana" w:cs="Verdana" w:eastAsia="Verdana" w:hAnsi="Verdana"/>
        </w:rPr>
      </w:pPr>
      <w:r w:rsidDel="00000000" w:rsidR="00000000" w:rsidRPr="00000000">
        <w:rPr>
          <w:rFonts w:ascii="Verdana" w:cs="Verdana" w:eastAsia="Verdana" w:hAnsi="Verdana"/>
          <w:sz w:val="20"/>
          <w:szCs w:val="20"/>
          <w:rtl w:val="0"/>
        </w:rPr>
        <w:t xml:space="preserve">Chaib, R., &amp; Barone, M. (2020). Uses of Chemicals in the Food and Beverage Industry. In Chemicals in the Food Industry (pp. 35-42). Springer, Cham.</w:t>
      </w:r>
      <w:r w:rsidDel="00000000" w:rsidR="00000000" w:rsidRPr="00000000">
        <w:rPr>
          <w:rtl w:val="0"/>
        </w:rPr>
      </w:r>
    </w:p>
    <w:p w:rsidR="00000000" w:rsidDel="00000000" w:rsidP="00000000" w:rsidRDefault="00000000" w:rsidRPr="00000000" w14:paraId="0000004C">
      <w:pPr>
        <w:widowControl w:val="0"/>
        <w:numPr>
          <w:ilvl w:val="0"/>
          <w:numId w:val="5"/>
        </w:numPr>
        <w:spacing w:after="200" w:line="240" w:lineRule="auto"/>
        <w:ind w:left="720" w:hanging="360"/>
        <w:jc w:val="both"/>
        <w:rPr>
          <w:rFonts w:ascii="Verdana" w:cs="Verdana" w:eastAsia="Verdana" w:hAnsi="Verdana"/>
        </w:rPr>
      </w:pPr>
      <w:r w:rsidDel="00000000" w:rsidR="00000000" w:rsidRPr="00000000">
        <w:rPr>
          <w:rFonts w:ascii="Verdana" w:cs="Verdana" w:eastAsia="Verdana" w:hAnsi="Verdana"/>
          <w:sz w:val="20"/>
          <w:szCs w:val="20"/>
          <w:rtl w:val="0"/>
        </w:rPr>
        <w:t xml:space="preserve">Jansen, T., Claassen, L., van Kamp, I., &amp; Timmermans, D. R. (2020). ‘All chemical substances are harmful.’public appraisal of uncertain risks of food additives and contaminants. Food and Chemical Toxicology, 136, 110959</w:t>
      </w:r>
      <w:r w:rsidDel="00000000" w:rsidR="00000000" w:rsidRPr="00000000">
        <w:rPr>
          <w:rtl w:val="0"/>
        </w:rPr>
      </w:r>
    </w:p>
    <w:p w:rsidR="00000000" w:rsidDel="00000000" w:rsidP="00000000" w:rsidRDefault="00000000" w:rsidRPr="00000000" w14:paraId="0000004D">
      <w:pPr>
        <w:numPr>
          <w:ilvl w:val="0"/>
          <w:numId w:val="5"/>
        </w:numPr>
        <w:ind w:left="720" w:hanging="360"/>
        <w:jc w:val="both"/>
        <w:rPr>
          <w:rFonts w:ascii="Verdana" w:cs="Verdana" w:eastAsia="Verdana" w:hAnsi="Verdana"/>
        </w:rPr>
      </w:pPr>
      <w:bookmarkStart w:colFirst="0" w:colLast="0" w:name="_heading=h.3znysh7" w:id="2"/>
      <w:bookmarkEnd w:id="2"/>
      <w:r w:rsidDel="00000000" w:rsidR="00000000" w:rsidRPr="00000000">
        <w:rPr>
          <w:rFonts w:ascii="Verdana" w:cs="Verdana" w:eastAsia="Verdana" w:hAnsi="Verdana"/>
          <w:sz w:val="20"/>
          <w:szCs w:val="20"/>
          <w:rtl w:val="0"/>
        </w:rPr>
        <w:t xml:space="preserve">Elizabeth, L., Machado, P., Zinöcker, M., Baker, P., &amp; Lawrence, M. (2020). Ultra-processed foods and health outcomes: a narrative review. </w:t>
      </w:r>
      <w:r w:rsidDel="00000000" w:rsidR="00000000" w:rsidRPr="00000000">
        <w:rPr>
          <w:rFonts w:ascii="Verdana" w:cs="Verdana" w:eastAsia="Verdana" w:hAnsi="Verdana"/>
          <w:i w:val="1"/>
          <w:sz w:val="20"/>
          <w:szCs w:val="20"/>
          <w:rtl w:val="0"/>
        </w:rPr>
        <w:t xml:space="preserve">Nutrients. 12(7), 1995.</w:t>
      </w:r>
      <w:r w:rsidDel="00000000" w:rsidR="00000000" w:rsidRPr="00000000">
        <w:rPr>
          <w:rtl w:val="0"/>
        </w:rPr>
      </w:r>
    </w:p>
    <w:p w:rsidR="00000000" w:rsidDel="00000000" w:rsidP="00000000" w:rsidRDefault="00000000" w:rsidRPr="00000000" w14:paraId="0000004E">
      <w:pPr>
        <w:widowControl w:val="0"/>
        <w:numPr>
          <w:ilvl w:val="0"/>
          <w:numId w:val="5"/>
        </w:numPr>
        <w:spacing w:line="240" w:lineRule="auto"/>
        <w:ind w:left="720" w:hanging="360"/>
        <w:jc w:val="both"/>
        <w:rPr>
          <w:rFonts w:ascii="Verdana" w:cs="Verdana" w:eastAsia="Verdana" w:hAnsi="Verdana"/>
          <w:i w:val="1"/>
        </w:rPr>
      </w:pPr>
      <w:r w:rsidDel="00000000" w:rsidR="00000000" w:rsidRPr="00000000">
        <w:rPr>
          <w:rFonts w:ascii="Verdana" w:cs="Verdana" w:eastAsia="Verdana" w:hAnsi="Verdana"/>
          <w:sz w:val="20"/>
          <w:szCs w:val="20"/>
          <w:highlight w:val="white"/>
          <w:rtl w:val="0"/>
        </w:rPr>
        <w:t xml:space="preserve">McCann D, Barrett A, Cooper A, Crumpler D, Dalen L, Grimshaw K, et al. Food additives and hyperactive behaviour in 3-year-old and 8/9-year-old children in the community: a randomised, double-blinded, placebo-controlled trial. Lancet. 2007;370(9598):1560–7. </w:t>
      </w:r>
      <w:r w:rsidDel="00000000" w:rsidR="00000000" w:rsidRPr="00000000">
        <w:rPr>
          <w:rFonts w:ascii="Verdana" w:cs="Verdana" w:eastAsia="Verdana" w:hAnsi="Verdana"/>
          <w:color w:val="1155cc"/>
          <w:sz w:val="20"/>
          <w:szCs w:val="20"/>
          <w:highlight w:val="white"/>
          <w:u w:val="single"/>
          <w:rtl w:val="0"/>
        </w:rPr>
        <w:t xml:space="preserve">doi: 10.1016 / S0140-6736 (07) 61306-3.</w:t>
      </w:r>
      <w:r w:rsidDel="00000000" w:rsidR="00000000" w:rsidRPr="00000000">
        <w:rPr>
          <w:rFonts w:ascii="Verdana" w:cs="Verdana" w:eastAsia="Verdana" w:hAnsi="Verdana"/>
          <w:color w:val="5b616b"/>
          <w:sz w:val="20"/>
          <w:szCs w:val="20"/>
          <w:highlight w:val="white"/>
          <w:rtl w:val="0"/>
        </w:rPr>
        <w:t xml:space="preserve">  </w:t>
      </w:r>
      <w:r w:rsidDel="00000000" w:rsidR="00000000" w:rsidRPr="00000000">
        <w:rPr>
          <w:rtl w:val="0"/>
        </w:rPr>
      </w:r>
    </w:p>
    <w:p w:rsidR="00000000" w:rsidDel="00000000" w:rsidP="00000000" w:rsidRDefault="00000000" w:rsidRPr="00000000" w14:paraId="0000004F">
      <w:pPr>
        <w:widowControl w:val="0"/>
        <w:numPr>
          <w:ilvl w:val="0"/>
          <w:numId w:val="5"/>
        </w:numPr>
        <w:spacing w:line="240" w:lineRule="auto"/>
        <w:ind w:left="720" w:hanging="360"/>
        <w:jc w:val="both"/>
        <w:rPr>
          <w:rFonts w:ascii="Verdana" w:cs="Verdana" w:eastAsia="Verdana" w:hAnsi="Verdana"/>
          <w:i w:val="1"/>
        </w:rPr>
      </w:pPr>
      <w:r w:rsidDel="00000000" w:rsidR="00000000" w:rsidRPr="00000000">
        <w:rPr>
          <w:rFonts w:ascii="Verdana" w:cs="Verdana" w:eastAsia="Verdana" w:hAnsi="Verdana"/>
          <w:sz w:val="20"/>
          <w:szCs w:val="20"/>
          <w:highlight w:val="white"/>
          <w:rtl w:val="0"/>
        </w:rPr>
        <w:t xml:space="preserve">3. </w:t>
        <w:tab/>
        <w:t xml:space="preserve">Arnold LE, Lofthouse N, Hurt E. Artificial Food Colors and Attention-Deficit/Hyperactivity Symptoms: Conclusions to Dye for. Neurotherapeutics. 2012;9(3):599–609. </w:t>
      </w:r>
      <w:r w:rsidDel="00000000" w:rsidR="00000000" w:rsidRPr="00000000">
        <w:rPr>
          <w:rFonts w:ascii="Verdana" w:cs="Verdana" w:eastAsia="Verdana" w:hAnsi="Verdana"/>
          <w:color w:val="1155cc"/>
          <w:sz w:val="20"/>
          <w:szCs w:val="20"/>
          <w:highlight w:val="white"/>
          <w:u w:val="single"/>
          <w:rtl w:val="0"/>
        </w:rPr>
        <w:t xml:space="preserve">doi: 10.1007 / s13311-012-0133-x.</w:t>
      </w:r>
      <w:r w:rsidDel="00000000" w:rsidR="00000000" w:rsidRPr="00000000">
        <w:rPr>
          <w:rFonts w:ascii="Verdana" w:cs="Verdana" w:eastAsia="Verdana" w:hAnsi="Verdana"/>
          <w:color w:val="5b616b"/>
          <w:sz w:val="20"/>
          <w:szCs w:val="20"/>
          <w:highlight w:val="white"/>
          <w:rtl w:val="0"/>
        </w:rPr>
        <w:t xml:space="preserve">  </w:t>
      </w:r>
      <w:r w:rsidDel="00000000" w:rsidR="00000000" w:rsidRPr="00000000">
        <w:rPr>
          <w:rtl w:val="0"/>
        </w:rPr>
      </w:r>
    </w:p>
    <w:p w:rsidR="00000000" w:rsidDel="00000000" w:rsidP="00000000" w:rsidRDefault="00000000" w:rsidRPr="00000000" w14:paraId="00000050">
      <w:pPr>
        <w:widowControl w:val="0"/>
        <w:numPr>
          <w:ilvl w:val="0"/>
          <w:numId w:val="5"/>
        </w:numPr>
        <w:spacing w:line="240" w:lineRule="auto"/>
        <w:ind w:left="720" w:hanging="360"/>
        <w:jc w:val="both"/>
        <w:rPr>
          <w:rFonts w:ascii="Verdana" w:cs="Verdana" w:eastAsia="Verdana" w:hAnsi="Verdana"/>
          <w:color w:val="5b616b"/>
          <w:highlight w:val="white"/>
        </w:rPr>
      </w:pPr>
      <w:r w:rsidDel="00000000" w:rsidR="00000000" w:rsidRPr="00000000">
        <w:rPr>
          <w:rFonts w:ascii="Verdana" w:cs="Verdana" w:eastAsia="Verdana" w:hAnsi="Verdana"/>
          <w:sz w:val="20"/>
          <w:szCs w:val="20"/>
          <w:highlight w:val="white"/>
          <w:rtl w:val="0"/>
        </w:rPr>
        <w:t xml:space="preserve">Yamjala K, Nainar MS, Ramisetti NR. Methods for the analysis of azo dyes employed in food industry - A review. Food Chem [Internet]. 2016;192:813–24. Available from: </w:t>
      </w:r>
      <w:hyperlink r:id="rId9">
        <w:r w:rsidDel="00000000" w:rsidR="00000000" w:rsidRPr="00000000">
          <w:rPr>
            <w:rFonts w:ascii="Verdana" w:cs="Verdana" w:eastAsia="Verdana" w:hAnsi="Verdana"/>
            <w:color w:val="1155cc"/>
            <w:sz w:val="20"/>
            <w:szCs w:val="20"/>
            <w:highlight w:val="white"/>
            <w:u w:val="single"/>
            <w:rtl w:val="0"/>
          </w:rPr>
          <w:t xml:space="preserve">http://dx.doi.org/10.1016/j.foodchem.2015.07.085</w:t>
        </w:r>
      </w:hyperlink>
      <w:r w:rsidDel="00000000" w:rsidR="00000000" w:rsidRPr="00000000">
        <w:rPr>
          <w:rFonts w:ascii="Verdana" w:cs="Verdana" w:eastAsia="Verdana" w:hAnsi="Verdana"/>
          <w:sz w:val="20"/>
          <w:szCs w:val="20"/>
          <w:highlight w:val="white"/>
          <w:rtl w:val="0"/>
        </w:rPr>
        <w:t xml:space="preserve">  </w:t>
      </w:r>
      <w:r w:rsidDel="00000000" w:rsidR="00000000" w:rsidRPr="00000000">
        <w:rPr>
          <w:rtl w:val="0"/>
        </w:rPr>
      </w:r>
    </w:p>
    <w:p w:rsidR="00000000" w:rsidDel="00000000" w:rsidP="00000000" w:rsidRDefault="00000000" w:rsidRPr="00000000" w14:paraId="00000051">
      <w:pPr>
        <w:widowControl w:val="0"/>
        <w:numPr>
          <w:ilvl w:val="0"/>
          <w:numId w:val="5"/>
        </w:numPr>
        <w:spacing w:line="240" w:lineRule="auto"/>
        <w:ind w:left="720" w:hanging="360"/>
        <w:jc w:val="both"/>
        <w:rPr>
          <w:rFonts w:ascii="Verdana" w:cs="Verdana" w:eastAsia="Verdana" w:hAnsi="Verdana"/>
          <w:highlight w:val="white"/>
        </w:rPr>
      </w:pPr>
      <w:r w:rsidDel="00000000" w:rsidR="00000000" w:rsidRPr="00000000">
        <w:rPr>
          <w:rFonts w:ascii="Verdana" w:cs="Verdana" w:eastAsia="Verdana" w:hAnsi="Verdana"/>
          <w:sz w:val="20"/>
          <w:szCs w:val="20"/>
          <w:highlight w:val="white"/>
          <w:rtl w:val="0"/>
        </w:rPr>
        <w:t xml:space="preserve">Husain A, Sawaya W, Al-Omair A, Al-Zenki S, Al-Amiri H, Ahmed N, et al. Estimates of dietary exposure of children to artificial food colours in Kuwait. Food Addit Contam. 2006;23(3):245–51. </w:t>
      </w:r>
      <w:r w:rsidDel="00000000" w:rsidR="00000000" w:rsidRPr="00000000">
        <w:rPr>
          <w:rtl w:val="0"/>
        </w:rPr>
      </w:r>
    </w:p>
    <w:p w:rsidR="00000000" w:rsidDel="00000000" w:rsidP="00000000" w:rsidRDefault="00000000" w:rsidRPr="00000000" w14:paraId="00000052">
      <w:pPr>
        <w:widowControl w:val="0"/>
        <w:numPr>
          <w:ilvl w:val="0"/>
          <w:numId w:val="5"/>
        </w:numPr>
        <w:spacing w:line="240" w:lineRule="auto"/>
        <w:ind w:left="720" w:hanging="360"/>
        <w:jc w:val="both"/>
        <w:rPr>
          <w:rFonts w:ascii="Verdana" w:cs="Verdana" w:eastAsia="Verdana" w:hAnsi="Verdana"/>
          <w:highlight w:val="white"/>
        </w:rPr>
      </w:pPr>
      <w:r w:rsidDel="00000000" w:rsidR="00000000" w:rsidRPr="00000000">
        <w:rPr>
          <w:rFonts w:ascii="Verdana" w:cs="Verdana" w:eastAsia="Verdana" w:hAnsi="Verdana"/>
          <w:sz w:val="20"/>
          <w:szCs w:val="20"/>
          <w:highlight w:val="white"/>
          <w:rtl w:val="0"/>
        </w:rPr>
        <w:t xml:space="preserve">Kobylewski S, Jacobson MF. Toxicology of food dyes. Int J Occup Environ Health. 2012;18(3):220–46.  </w:t>
      </w:r>
      <w:r w:rsidDel="00000000" w:rsidR="00000000" w:rsidRPr="00000000">
        <w:rPr>
          <w:rFonts w:ascii="Verdana" w:cs="Verdana" w:eastAsia="Verdana" w:hAnsi="Verdana"/>
          <w:color w:val="5b616b"/>
          <w:sz w:val="20"/>
          <w:szCs w:val="20"/>
          <w:highlight w:val="white"/>
          <w:rtl w:val="0"/>
        </w:rPr>
        <w:t xml:space="preserve">doi: 10.1179 / 1077352512Z.00000000034 </w:t>
      </w:r>
      <w:r w:rsidDel="00000000" w:rsidR="00000000" w:rsidRPr="00000000">
        <w:rPr>
          <w:rtl w:val="0"/>
        </w:rPr>
      </w:r>
    </w:p>
    <w:p w:rsidR="00000000" w:rsidDel="00000000" w:rsidP="00000000" w:rsidRDefault="00000000" w:rsidRPr="00000000" w14:paraId="00000053">
      <w:pPr>
        <w:widowControl w:val="0"/>
        <w:numPr>
          <w:ilvl w:val="0"/>
          <w:numId w:val="5"/>
        </w:numPr>
        <w:spacing w:line="240" w:lineRule="auto"/>
        <w:ind w:left="720" w:hanging="360"/>
        <w:jc w:val="both"/>
        <w:rPr>
          <w:rFonts w:ascii="Verdana" w:cs="Verdana" w:eastAsia="Verdana" w:hAnsi="Verdana"/>
          <w:highlight w:val="white"/>
        </w:rPr>
      </w:pPr>
      <w:r w:rsidDel="00000000" w:rsidR="00000000" w:rsidRPr="00000000">
        <w:rPr>
          <w:rFonts w:ascii="Verdana" w:cs="Verdana" w:eastAsia="Verdana" w:hAnsi="Verdana"/>
          <w:sz w:val="20"/>
          <w:szCs w:val="20"/>
          <w:highlight w:val="white"/>
          <w:rtl w:val="0"/>
        </w:rPr>
        <w:t xml:space="preserve"> Vilas-boas V, Gijbels E, Jonckheer J, Waele E De, Vinken M. Cholestatic liver injury induced by food additives , dietary supplements and parenteral nutrition. Environ Int [Internet]. 2020;136(December 2019):105422. Available from: </w:t>
      </w:r>
      <w:hyperlink r:id="rId10">
        <w:r w:rsidDel="00000000" w:rsidR="00000000" w:rsidRPr="00000000">
          <w:rPr>
            <w:rFonts w:ascii="Verdana" w:cs="Verdana" w:eastAsia="Verdana" w:hAnsi="Verdana"/>
            <w:color w:val="1155cc"/>
            <w:sz w:val="20"/>
            <w:szCs w:val="20"/>
            <w:highlight w:val="white"/>
            <w:u w:val="single"/>
            <w:rtl w:val="0"/>
          </w:rPr>
          <w:t xml:space="preserve">http</w:t>
        </w:r>
      </w:hyperlink>
      <w:hyperlink r:id="rId11">
        <w:r w:rsidDel="00000000" w:rsidR="00000000" w:rsidRPr="00000000">
          <w:rPr>
            <w:rFonts w:ascii="Verdana" w:cs="Verdana" w:eastAsia="Verdana" w:hAnsi="Verdana"/>
            <w:color w:val="1155cc"/>
            <w:sz w:val="20"/>
            <w:szCs w:val="20"/>
            <w:u w:val="single"/>
            <w:rtl w:val="0"/>
          </w:rPr>
          <w:t xml:space="preserve">s://doi.org/10.1016/j.envint.2019.105422</w:t>
        </w:r>
      </w:hyperlink>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54">
      <w:pPr>
        <w:numPr>
          <w:ilvl w:val="0"/>
          <w:numId w:val="5"/>
        </w:numPr>
        <w:spacing w:after="0" w:lineRule="auto"/>
        <w:ind w:left="720" w:hanging="360"/>
        <w:jc w:val="both"/>
        <w:rPr>
          <w:rFonts w:ascii="Verdana" w:cs="Verdana" w:eastAsia="Verdana" w:hAnsi="Verdana"/>
        </w:rPr>
      </w:pPr>
      <w:r w:rsidDel="00000000" w:rsidR="00000000" w:rsidRPr="00000000">
        <w:rPr>
          <w:rFonts w:ascii="Verdana" w:cs="Verdana" w:eastAsia="Verdana" w:hAnsi="Verdana"/>
          <w:sz w:val="20"/>
          <w:szCs w:val="20"/>
          <w:highlight w:val="white"/>
          <w:rtl w:val="0"/>
        </w:rPr>
        <w:t xml:space="preserve">ALIMENTARIOS, S. A. (1996). Programa conjunto FAO/OMS sobre normas alimentarias Comisión del Codex Alimentarius. </w:t>
      </w:r>
      <w:hyperlink r:id="rId12">
        <w:r w:rsidDel="00000000" w:rsidR="00000000" w:rsidRPr="00000000">
          <w:rPr>
            <w:rFonts w:ascii="Verdana" w:cs="Verdana" w:eastAsia="Verdana" w:hAnsi="Verdana"/>
            <w:color w:val="1155cc"/>
            <w:sz w:val="20"/>
            <w:szCs w:val="20"/>
            <w:highlight w:val="white"/>
            <w:u w:val="single"/>
            <w:rtl w:val="0"/>
          </w:rPr>
          <w:t xml:space="preserve">https://www.google.com/url?client=internal-element-cse&amp;cx=018170620143701104933:i-zresgmxec&amp;q=https://www.fao.org/fao-who-codexalimentarius/sh-proxy/en/%3Flnk%3D1%26url%3Dhttps%25253A%25252F%25252Fworkspace.fao.org%25252Fsites%25252Fcodex%25252FStandards%25252FCXS%252B192-1995%25252FCXS_192s.pdf&amp;sa=U&amp;ved=2ahUKEwjYvseTwsD0AhXmQjABHZt2CjUQFnoECAYQAQ&amp;usg=AOvVaw3TRmAgSZTBkOFSR0E0YG7w</w:t>
        </w:r>
      </w:hyperlink>
      <w:r w:rsidDel="00000000" w:rsidR="00000000" w:rsidRPr="00000000">
        <w:rPr>
          <w:rFonts w:ascii="Verdana" w:cs="Verdana" w:eastAsia="Verdana" w:hAnsi="Verdana"/>
          <w:sz w:val="20"/>
          <w:szCs w:val="20"/>
          <w:highlight w:val="white"/>
          <w:rtl w:val="0"/>
        </w:rPr>
        <w:t xml:space="preserve"> </w:t>
      </w:r>
      <w:r w:rsidDel="00000000" w:rsidR="00000000" w:rsidRPr="00000000">
        <w:rPr>
          <w:rtl w:val="0"/>
        </w:rPr>
      </w:r>
    </w:p>
    <w:p w:rsidR="00000000" w:rsidDel="00000000" w:rsidP="00000000" w:rsidRDefault="00000000" w:rsidRPr="00000000" w14:paraId="00000055">
      <w:pPr>
        <w:spacing w:line="240" w:lineRule="auto"/>
        <w:jc w:val="both"/>
        <w:rPr>
          <w:rFonts w:ascii="Verdana" w:cs="Verdana" w:eastAsia="Verdana" w:hAnsi="Verdana"/>
          <w:sz w:val="20"/>
          <w:szCs w:val="20"/>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spacing w:after="0" w:line="240" w:lineRule="auto"/>
        <w:ind w:hanging="2"/>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Según el perfil de Nutrientes de la Organización Panamericana de la Salud (OPS) 2016, un producto tiene exceso de sodio, cuando el sodio es igual o superior de 1 mg por cada kilocaloría aportada por la porción establecida por el fabricante en el etiquetado.</w:t>
      </w:r>
    </w:p>
  </w:footnote>
  <w:footnote w:id="1">
    <w:p w:rsidR="00000000" w:rsidDel="00000000" w:rsidP="00000000" w:rsidRDefault="00000000" w:rsidRPr="00000000" w14:paraId="00000057">
      <w:pPr>
        <w:spacing w:after="0" w:line="240" w:lineRule="auto"/>
        <w:jc w:val="both"/>
        <w:rPr>
          <w:sz w:val="20"/>
          <w:szCs w:val="20"/>
          <w:shd w:fill="b6d7a8" w:val="clear"/>
        </w:rPr>
      </w:pPr>
      <w:r w:rsidDel="00000000" w:rsidR="00000000" w:rsidRPr="00000000">
        <w:rPr>
          <w:rStyle w:val="FootnoteReference"/>
          <w:vertAlign w:val="superscript"/>
        </w:rPr>
        <w:footnoteRef/>
      </w:r>
      <w:r w:rsidDel="00000000" w:rsidR="00000000" w:rsidRPr="00000000">
        <w:rPr>
          <w:sz w:val="20"/>
          <w:szCs w:val="20"/>
          <w:rtl w:val="0"/>
        </w:rPr>
        <w:t xml:space="preserve"> Cada gramo de azúcar aporta 4 kilocalorías. La cantidad de una cucharada de postre equivale a 4,5 gramos de azúcar. Según el perfil de Nutrientes de la Organización Panamericana de la Salud (OPS) 2016, un producto tiene exceso de azúcares libres, cuando las kilocalorías aportadas provenientes por los azúcares libres son iguales o superiores al 10 % de las kilocalorías aportadas por la porción establecida por el fabricante en el etiquetado.</w:t>
      </w:r>
      <w:r w:rsidDel="00000000" w:rsidR="00000000" w:rsidRPr="00000000">
        <w:rPr>
          <w:rtl w:val="0"/>
        </w:rPr>
      </w:r>
    </w:p>
  </w:footnote>
  <w:footnote w:id="2">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Estudiante de pasantía de la carrera de Nutrición y Dietética del Departamento de Nutrición Humana de la Facultad de Medicina de la Universidad Nacional de Colombia.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Times New Roman" w:cs="Times New Roman" w:eastAsia="Times New Roman" w:hAnsi="Times New Roman"/>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2A39"/>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rrafodelista">
    <w:name w:val="List Paragraph"/>
    <w:basedOn w:val="Normal"/>
    <w:uiPriority w:val="34"/>
    <w:qFormat w:val="1"/>
    <w:rsid w:val="00432A39"/>
    <w:pPr>
      <w:ind w:left="720"/>
      <w:contextualSpacing w:val="1"/>
    </w:pPr>
  </w:style>
  <w:style w:type="paragraph" w:styleId="Encabezado">
    <w:name w:val="header"/>
    <w:basedOn w:val="Normal"/>
    <w:link w:val="EncabezadoCar"/>
    <w:uiPriority w:val="99"/>
    <w:unhideWhenUsed w:val="1"/>
    <w:rsid w:val="009C259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C259A"/>
  </w:style>
  <w:style w:type="paragraph" w:styleId="Piedepgina">
    <w:name w:val="footer"/>
    <w:basedOn w:val="Normal"/>
    <w:link w:val="PiedepginaCar"/>
    <w:uiPriority w:val="99"/>
    <w:unhideWhenUsed w:val="1"/>
    <w:rsid w:val="009C259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C259A"/>
  </w:style>
  <w:style w:type="character" w:styleId="Refdecomentario">
    <w:name w:val="annotation reference"/>
    <w:basedOn w:val="Fuentedeprrafopredeter"/>
    <w:uiPriority w:val="99"/>
    <w:semiHidden w:val="1"/>
    <w:unhideWhenUsed w:val="1"/>
    <w:rsid w:val="00314BCA"/>
    <w:rPr>
      <w:sz w:val="16"/>
      <w:szCs w:val="16"/>
    </w:rPr>
  </w:style>
  <w:style w:type="paragraph" w:styleId="Textocomentario">
    <w:name w:val="annotation text"/>
    <w:basedOn w:val="Normal"/>
    <w:link w:val="TextocomentarioCar"/>
    <w:uiPriority w:val="99"/>
    <w:semiHidden w:val="1"/>
    <w:unhideWhenUsed w:val="1"/>
    <w:rsid w:val="00314BCA"/>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314BCA"/>
    <w:rPr>
      <w:sz w:val="20"/>
      <w:szCs w:val="20"/>
    </w:rPr>
  </w:style>
  <w:style w:type="paragraph" w:styleId="Textodeglobo">
    <w:name w:val="Balloon Text"/>
    <w:basedOn w:val="Normal"/>
    <w:link w:val="TextodegloboCar"/>
    <w:uiPriority w:val="99"/>
    <w:semiHidden w:val="1"/>
    <w:unhideWhenUsed w:val="1"/>
    <w:rsid w:val="00314BCA"/>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14BCA"/>
    <w:rPr>
      <w:rFonts w:ascii="Segoe UI" w:cs="Segoe UI" w:hAnsi="Segoe UI"/>
      <w:sz w:val="18"/>
      <w:szCs w:val="18"/>
    </w:rPr>
  </w:style>
  <w:style w:type="paragraph" w:styleId="Asuntodelcomentario">
    <w:name w:val="annotation subject"/>
    <w:basedOn w:val="Textocomentario"/>
    <w:next w:val="Textocomentario"/>
    <w:link w:val="AsuntodelcomentarioCar"/>
    <w:uiPriority w:val="99"/>
    <w:semiHidden w:val="1"/>
    <w:unhideWhenUsed w:val="1"/>
    <w:rsid w:val="00261BC2"/>
    <w:rPr>
      <w:b w:val="1"/>
      <w:bCs w:val="1"/>
    </w:rPr>
  </w:style>
  <w:style w:type="character" w:styleId="AsuntodelcomentarioCar" w:customStyle="1">
    <w:name w:val="Asunto del comentario Car"/>
    <w:basedOn w:val="TextocomentarioCar"/>
    <w:link w:val="Asuntodelcomentario"/>
    <w:uiPriority w:val="99"/>
    <w:semiHidden w:val="1"/>
    <w:rsid w:val="00261BC2"/>
    <w:rPr>
      <w:b w:val="1"/>
      <w:bCs w:val="1"/>
      <w:sz w:val="20"/>
      <w:szCs w:val="20"/>
    </w:rPr>
  </w:style>
  <w:style w:type="paragraph" w:styleId="Sinespaciado">
    <w:name w:val="No Spacing"/>
    <w:uiPriority w:val="1"/>
    <w:qFormat w:val="1"/>
    <w:rsid w:val="006176E8"/>
    <w:pPr>
      <w:spacing w:after="0" w:line="240" w:lineRule="auto"/>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Revisin">
    <w:name w:val="Revision"/>
    <w:hidden w:val="1"/>
    <w:uiPriority w:val="99"/>
    <w:semiHidden w:val="1"/>
    <w:rsid w:val="000B2237"/>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doi.org/10.1016/j.envint.2019.105422" TargetMode="External"/><Relationship Id="rId10" Type="http://schemas.openxmlformats.org/officeDocument/2006/relationships/hyperlink" Target="https://doi.org/10.1016/j.envint.2019.105422" TargetMode="External"/><Relationship Id="rId12" Type="http://schemas.openxmlformats.org/officeDocument/2006/relationships/hyperlink" Target="https://www.fao.org/fao-who-codexalimentarius/sh-proxy/en/?lnk=1&amp;url=https%253A%252F%252Fworkspace.fao.org%252Fsites%252Fcodex%252FStandards%252FCXS%2B192-1995%252FCXS_192s.pdf" TargetMode="External"/><Relationship Id="rId9" Type="http://schemas.openxmlformats.org/officeDocument/2006/relationships/hyperlink" Target="http://dx.doi.org/10.1016/j.foodchem.2015.07.08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paho.org/permissio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KEvef9d1iCzKdoc8LBr8JozYQ==">AMUW2mXB+UVRawsFYV7ZPMXVOpuNw4weJYHcSntt/+mIPMa+2+Kz3KeV5UPwC5uNV5v8W0zDhTilXli28IXivqSyremxHYoOTA7mACylWItPqIbnCkdpPFRhzDrJ5BABQyCAxxo8nB6yAe8qn5I1mBVs7GCGg35ALw==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2022-01-25T19:36:00Z</dcterms:created>
  <dc:creator>Ardila, Paula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a5ce91f3-ea16-3e76-9a95-fb9303b6318e</vt:lpwstr>
  </property>
  <property fmtid="{D5CDD505-2E9C-101B-9397-08002B2CF9AE}" pid="24" name="Mendeley Citation Style_1">
    <vt:lpwstr>http://www.zotero.org/styles/vancouver</vt:lpwstr>
  </property>
</Properties>
</file>