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F5DCF" w:rsidRDefault="00F2294C">
      <w:pPr>
        <w:spacing w:after="0" w:line="240" w:lineRule="auto"/>
        <w:ind w:left="0" w:hanging="2"/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sz w:val="20"/>
          <w:szCs w:val="20"/>
        </w:rPr>
        <w:t xml:space="preserve">Radiografía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Aji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-no-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men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sabor gallina criolla 80g</w:t>
      </w:r>
    </w:p>
    <w:p w14:paraId="00000002" w14:textId="77777777" w:rsidR="008F5DCF" w:rsidRDefault="00F2294C">
      <w:pPr>
        <w:spacing w:after="0" w:line="240" w:lineRule="auto"/>
        <w:ind w:left="0" w:right="10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Tamaño de la porción: 40 g (½ paquete)</w:t>
      </w:r>
    </w:p>
    <w:p w14:paraId="00000003" w14:textId="77777777" w:rsidR="008F5DCF" w:rsidRDefault="00F2294C">
      <w:pPr>
        <w:spacing w:after="0" w:line="240" w:lineRule="auto"/>
        <w:ind w:left="0" w:right="5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Kilocalorías (Kcal): 184 por porción</w:t>
      </w:r>
    </w:p>
    <w:p w14:paraId="00000004" w14:textId="77777777" w:rsidR="008F5DCF" w:rsidRDefault="00F2294C">
      <w:pPr>
        <w:spacing w:after="0" w:line="240" w:lineRule="auto"/>
        <w:ind w:left="0" w:right="-4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Número de porciones por envase: 2 porciones</w:t>
      </w:r>
    </w:p>
    <w:p w14:paraId="00000005" w14:textId="77777777" w:rsidR="008F5DCF" w:rsidRDefault="008F5DCF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06" w14:textId="77777777" w:rsidR="008F5DCF" w:rsidRDefault="008F5DCF">
      <w:pPr>
        <w:spacing w:after="0" w:line="240" w:lineRule="auto"/>
        <w:ind w:left="0" w:right="1659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0000000C" w14:textId="77777777" w:rsidR="008F5DCF" w:rsidRDefault="00F2294C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bookmarkStart w:id="1" w:name="_GoBack"/>
      <w:bookmarkEnd w:id="1"/>
      <w:r>
        <w:rPr>
          <w:rFonts w:ascii="Verdana" w:eastAsia="Verdana" w:hAnsi="Verdana" w:cs="Verdana"/>
          <w:b/>
          <w:sz w:val="20"/>
          <w:szCs w:val="20"/>
          <w:highlight w:val="white"/>
        </w:rPr>
        <w:t>Según la Organización Panamerican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a de la Salud, estos son los sellos de advertencia que tendría este producto: EXCESO DE SODIO y EXCESO DE GRASAS SATURADAS </w:t>
      </w:r>
      <w:r>
        <w:rPr>
          <w:rFonts w:ascii="Verdana" w:eastAsia="Verdana" w:hAnsi="Verdana" w:cs="Verdana"/>
          <w:sz w:val="20"/>
          <w:szCs w:val="20"/>
          <w:highlight w:val="white"/>
        </w:rPr>
        <w:t>(1).</w:t>
      </w:r>
    </w:p>
    <w:p w14:paraId="0000000D" w14:textId="77777777" w:rsidR="008F5DCF" w:rsidRDefault="008F5DCF">
      <w:pPr>
        <w:spacing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0000000E" w14:textId="77777777" w:rsidR="008F5DCF" w:rsidRDefault="00F22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Clasificación: </w:t>
      </w:r>
      <w:r>
        <w:rPr>
          <w:rFonts w:ascii="Verdana" w:eastAsia="Verdana" w:hAnsi="Verdana" w:cs="Verdana"/>
          <w:sz w:val="20"/>
          <w:szCs w:val="20"/>
        </w:rPr>
        <w:t xml:space="preserve">producto comestible </w:t>
      </w:r>
      <w:proofErr w:type="spellStart"/>
      <w:r>
        <w:rPr>
          <w:rFonts w:ascii="Verdana" w:eastAsia="Verdana" w:hAnsi="Verdana" w:cs="Verdana"/>
          <w:sz w:val="20"/>
          <w:szCs w:val="20"/>
        </w:rPr>
        <w:t>ultraprocesado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- </w:t>
      </w:r>
      <w:r>
        <w:rPr>
          <w:color w:val="000000"/>
          <w:sz w:val="24"/>
          <w:szCs w:val="24"/>
        </w:rPr>
        <w:t>Alimento enlatado o listo para preparar - Sopas, cremas y bases</w:t>
      </w:r>
    </w:p>
    <w:p w14:paraId="0000000F" w14:textId="77777777" w:rsidR="008F5DCF" w:rsidRDefault="008F5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0" w14:textId="77777777" w:rsidR="008F5DCF" w:rsidRDefault="00F22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yellow"/>
        </w:rPr>
      </w:pPr>
      <w:bookmarkStart w:id="2" w:name="_heading=h.30j0zll" w:colFirst="0" w:colLast="0"/>
      <w:bookmarkEnd w:id="2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Análisis general del producto: </w:t>
      </w:r>
      <w:r>
        <w:rPr>
          <w:rFonts w:ascii="Verdana" w:eastAsia="Verdana" w:hAnsi="Verdana" w:cs="Verdana"/>
          <w:sz w:val="20"/>
          <w:szCs w:val="20"/>
        </w:rPr>
        <w:t xml:space="preserve">Este producto contiene 30 ingredientes diferentes, 12 de ellos son aditivos. Algunos aditivos usados en producción industrial de alimentos podrían afectar la salud (2)(3). </w:t>
      </w:r>
      <w:r>
        <w:rPr>
          <w:rFonts w:ascii="Verdana" w:eastAsia="Verdana" w:hAnsi="Verdana" w:cs="Verdana"/>
          <w:sz w:val="20"/>
          <w:szCs w:val="20"/>
          <w:highlight w:val="white"/>
        </w:rPr>
        <w:t>Según los criterios de la Organización Panamericana d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e la Salud (OPS) (1) este producto excede la cantidad recomendada de consumo de sodio y grasa saturada. </w:t>
      </w:r>
      <w:r>
        <w:rPr>
          <w:rFonts w:ascii="Verdana" w:eastAsia="Verdana" w:hAnsi="Verdana" w:cs="Verdana"/>
          <w:sz w:val="20"/>
          <w:szCs w:val="20"/>
        </w:rPr>
        <w:t>El consumo de productos que contienen exceso de estos nutrientes, se relaciona con mayor riesgo de sufrir enfermedades crónicas como diabetes, hipertens</w:t>
      </w:r>
      <w:r>
        <w:rPr>
          <w:rFonts w:ascii="Verdana" w:eastAsia="Verdana" w:hAnsi="Verdana" w:cs="Verdana"/>
          <w:sz w:val="20"/>
          <w:szCs w:val="20"/>
        </w:rPr>
        <w:t>ión, enfermedades cardiovasculares, entre otras (4).</w:t>
      </w:r>
    </w:p>
    <w:p w14:paraId="00000011" w14:textId="77777777" w:rsidR="008F5DCF" w:rsidRDefault="008F5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12" w14:textId="77777777" w:rsidR="008F5DCF" w:rsidRDefault="00F22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Ingredientes 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(30 ingredientes)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:</w:t>
      </w:r>
    </w:p>
    <w:p w14:paraId="00000013" w14:textId="77777777" w:rsidR="008F5DCF" w:rsidRDefault="008F5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</w:p>
    <w:p w14:paraId="00000014" w14:textId="77777777" w:rsidR="008F5DCF" w:rsidRDefault="00F2294C">
      <w:pPr>
        <w:spacing w:after="0" w:line="240" w:lineRule="auto"/>
        <w:ind w:left="0" w:hanging="2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A continuación, se enumeran los ingredientes del producto, de mayor a menor cantidad, de acuerdo a la información reportada en la etiqueta.</w:t>
      </w:r>
    </w:p>
    <w:p w14:paraId="00000015" w14:textId="77777777" w:rsidR="008F5DCF" w:rsidRDefault="008F5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  <w:u w:val="single"/>
        </w:rPr>
      </w:pPr>
    </w:p>
    <w:p w14:paraId="00000016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Harina de trigo fortificada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(contiene hierro, vitaminas: niacina (B3), tiamina (B1),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riboflavina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(B2) y ácido fólico.</w:t>
      </w:r>
    </w:p>
    <w:p w14:paraId="00000017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Manteca de palma </w:t>
      </w:r>
    </w:p>
    <w:p w14:paraId="00000018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Antioxidante TBHQ</w:t>
      </w:r>
    </w:p>
    <w:p w14:paraId="00000019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Sal</w:t>
      </w:r>
    </w:p>
    <w:p w14:paraId="0000001A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Tripolifosfato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de sodio (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Secuestrante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>)</w:t>
      </w:r>
    </w:p>
    <w:p w14:paraId="0000001B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Carbonato de sodio (Regulador de la acidez) </w:t>
      </w:r>
    </w:p>
    <w:p w14:paraId="0000001C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Carbonato de potasio (Regulador de acidez</w:t>
      </w:r>
      <w:r>
        <w:rPr>
          <w:rFonts w:ascii="Verdana" w:eastAsia="Verdana" w:hAnsi="Verdana" w:cs="Verdana"/>
          <w:sz w:val="20"/>
          <w:szCs w:val="20"/>
          <w:highlight w:val="white"/>
        </w:rPr>
        <w:t>)</w:t>
      </w:r>
    </w:p>
    <w:p w14:paraId="0000001D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Curcumina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(Colorante natural)</w:t>
      </w:r>
    </w:p>
    <w:p w14:paraId="0000001E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Tocoferoles concentrados (Antioxidante).</w:t>
      </w:r>
    </w:p>
    <w:p w14:paraId="0000001F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Glutamato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monosódico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(Acentuador de sabor)</w:t>
      </w:r>
    </w:p>
    <w:p w14:paraId="00000020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Inosinato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de sodio (Acentuador de sabor)</w:t>
      </w:r>
    </w:p>
    <w:p w14:paraId="00000021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Guanilato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de sodio (Acentuador de sabor)</w:t>
      </w:r>
    </w:p>
    <w:p w14:paraId="00000022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Tomate</w:t>
      </w:r>
    </w:p>
    <w:p w14:paraId="00000023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Cebolla</w:t>
      </w:r>
    </w:p>
    <w:p w14:paraId="00000024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Ajo</w:t>
      </w:r>
    </w:p>
    <w:p w14:paraId="00000025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Rocoto</w:t>
      </w:r>
    </w:p>
    <w:p w14:paraId="00000026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Sabor a gallina idéntico al natu</w:t>
      </w:r>
      <w:r>
        <w:rPr>
          <w:rFonts w:ascii="Verdana" w:eastAsia="Verdana" w:hAnsi="Verdana" w:cs="Verdana"/>
          <w:sz w:val="20"/>
          <w:szCs w:val="20"/>
          <w:highlight w:val="white"/>
        </w:rPr>
        <w:t>ral</w:t>
      </w:r>
    </w:p>
    <w:p w14:paraId="00000027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Carne de pollo deshidratada</w:t>
      </w:r>
    </w:p>
    <w:p w14:paraId="00000028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Proteína vegetal hidrolizada</w:t>
      </w:r>
    </w:p>
    <w:p w14:paraId="00000029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Grasa de pollo</w:t>
      </w:r>
    </w:p>
    <w:p w14:paraId="0000002A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Orégano</w:t>
      </w:r>
    </w:p>
    <w:p w14:paraId="0000002B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Perejil</w:t>
      </w:r>
    </w:p>
    <w:p w14:paraId="0000002C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Azúcar</w:t>
      </w:r>
    </w:p>
    <w:p w14:paraId="0000002D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lastRenderedPageBreak/>
        <w:t>Sabor de tuco idéntico al natural</w:t>
      </w:r>
    </w:p>
    <w:p w14:paraId="0000002E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Palillo</w:t>
      </w:r>
    </w:p>
    <w:p w14:paraId="0000002F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Cúrcuma</w:t>
      </w:r>
    </w:p>
    <w:p w14:paraId="00000030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Pimienta negra</w:t>
      </w:r>
    </w:p>
    <w:p w14:paraId="00000031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Comino</w:t>
      </w:r>
    </w:p>
    <w:p w14:paraId="00000032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Extracto de levadura</w:t>
      </w:r>
    </w:p>
    <w:p w14:paraId="00000033" w14:textId="77777777" w:rsidR="008F5DCF" w:rsidRDefault="00F22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Dióxido de silicio amorfo (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Antiaglutinante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). </w:t>
      </w:r>
    </w:p>
    <w:p w14:paraId="00000034" w14:textId="77777777" w:rsidR="008F5DCF" w:rsidRDefault="008F5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</w:p>
    <w:p w14:paraId="00000035" w14:textId="77777777" w:rsidR="008F5DCF" w:rsidRDefault="00F2294C">
      <w:pPr>
        <w:tabs>
          <w:tab w:val="left" w:pos="284"/>
        </w:tabs>
        <w:spacing w:after="0" w:line="240" w:lineRule="auto"/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Otros ingredientes declarados en etiqueta:</w:t>
      </w:r>
    </w:p>
    <w:p w14:paraId="00000036" w14:textId="77777777" w:rsidR="008F5DCF" w:rsidRDefault="008F5DCF">
      <w:pPr>
        <w:tabs>
          <w:tab w:val="left" w:pos="284"/>
        </w:tabs>
        <w:spacing w:after="0" w:line="240" w:lineRule="auto"/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0000037" w14:textId="77777777" w:rsidR="008F5DCF" w:rsidRDefault="00F2294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Trigo (Gluten)</w:t>
      </w:r>
    </w:p>
    <w:p w14:paraId="00000038" w14:textId="77777777" w:rsidR="008F5DCF" w:rsidRDefault="00F2294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Soya</w:t>
      </w:r>
    </w:p>
    <w:p w14:paraId="00000039" w14:textId="77777777" w:rsidR="008F5DCF" w:rsidRDefault="00F2294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Huevo</w:t>
      </w:r>
    </w:p>
    <w:p w14:paraId="0000003A" w14:textId="77777777" w:rsidR="008F5DCF" w:rsidRDefault="00F2294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Suero de leche</w:t>
      </w:r>
    </w:p>
    <w:p w14:paraId="0000003B" w14:textId="77777777" w:rsidR="008F5DCF" w:rsidRDefault="00F2294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lactosa </w:t>
      </w:r>
    </w:p>
    <w:p w14:paraId="0000003C" w14:textId="77777777" w:rsidR="008F5DCF" w:rsidRDefault="00F2294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Cebada (Gluten)</w:t>
      </w:r>
    </w:p>
    <w:p w14:paraId="0000003D" w14:textId="77777777" w:rsidR="008F5DCF" w:rsidRDefault="008F5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</w:p>
    <w:p w14:paraId="0000003E" w14:textId="77777777" w:rsidR="008F5DCF" w:rsidRDefault="00F22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Nutrientes críticos en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Aji</w:t>
      </w:r>
      <w:proofErr w:type="spellEnd"/>
      <w:r>
        <w:rPr>
          <w:rFonts w:ascii="Verdana" w:eastAsia="Verdana" w:hAnsi="Verdana" w:cs="Verdana"/>
          <w:b/>
          <w:sz w:val="20"/>
          <w:szCs w:val="20"/>
          <w:highlight w:val="white"/>
        </w:rPr>
        <w:t>-no-</w:t>
      </w:r>
      <w:proofErr w:type="spellStart"/>
      <w:r>
        <w:rPr>
          <w:rFonts w:ascii="Verdana" w:eastAsia="Verdana" w:hAnsi="Verdana" w:cs="Verdana"/>
          <w:b/>
          <w:sz w:val="20"/>
          <w:szCs w:val="20"/>
          <w:highlight w:val="white"/>
        </w:rPr>
        <w:t>men</w:t>
      </w:r>
      <w:proofErr w:type="spellEnd"/>
      <w:r>
        <w:rPr>
          <w:rFonts w:ascii="Verdana" w:eastAsia="Verdana" w:hAnsi="Verdana" w:cs="Verdana"/>
          <w:b/>
          <w:sz w:val="20"/>
          <w:szCs w:val="20"/>
          <w:highlight w:val="white"/>
        </w:rPr>
        <w:t>:</w:t>
      </w:r>
    </w:p>
    <w:p w14:paraId="0000003F" w14:textId="77777777" w:rsidR="008F5DCF" w:rsidRDefault="008F5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</w:p>
    <w:p w14:paraId="00000040" w14:textId="77777777" w:rsidR="008F5DCF" w:rsidRDefault="00F2294C">
      <w:pPr>
        <w:spacing w:after="0" w:line="240" w:lineRule="auto"/>
        <w:ind w:left="0" w:hanging="2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Cada porción de 40 gramos (½ paquete) aporta un total de 184 Calorías.</w:t>
      </w:r>
    </w:p>
    <w:p w14:paraId="00000041" w14:textId="77777777" w:rsidR="008F5DCF" w:rsidRDefault="008F5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</w:p>
    <w:p w14:paraId="00000042" w14:textId="77777777" w:rsidR="008F5DCF" w:rsidRDefault="008F5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</w:p>
    <w:p w14:paraId="00000043" w14:textId="77777777" w:rsidR="008F5DCF" w:rsidRDefault="00F2294C">
      <w:pPr>
        <w:numPr>
          <w:ilvl w:val="0"/>
          <w:numId w:val="4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  <w:u w:val="single"/>
        </w:rPr>
        <w:t>Sodio</w:t>
      </w:r>
      <w:r>
        <w:rPr>
          <w:rFonts w:ascii="Verdana" w:eastAsia="Verdana" w:hAnsi="Verdana" w:cs="Verdana"/>
          <w:sz w:val="20"/>
          <w:szCs w:val="20"/>
          <w:vertAlign w:val="superscript"/>
        </w:rPr>
        <w:footnoteReference w:id="1"/>
      </w:r>
      <w:r>
        <w:rPr>
          <w:rFonts w:ascii="Verdana" w:eastAsia="Verdana" w:hAnsi="Verdana" w:cs="Verdana"/>
          <w:sz w:val="20"/>
          <w:szCs w:val="20"/>
        </w:rPr>
        <w:t>: según los criterios de la Organización Panamericana de la Salud (OPS), este producto excede la cantidad de sodio recomendada. El producto aporta 1148 miligramos (mg) de sodio frente a las 184 calorías, por lo que excede la cantidad recomendada de sodio e</w:t>
      </w:r>
      <w:r>
        <w:rPr>
          <w:rFonts w:ascii="Verdana" w:eastAsia="Verdana" w:hAnsi="Verdana" w:cs="Verdana"/>
          <w:sz w:val="20"/>
          <w:szCs w:val="20"/>
        </w:rPr>
        <w:t>n 964 mg.</w:t>
      </w:r>
    </w:p>
    <w:p w14:paraId="00000044" w14:textId="77777777" w:rsidR="008F5DCF" w:rsidRDefault="00F2294C">
      <w:pPr>
        <w:numPr>
          <w:ilvl w:val="0"/>
          <w:numId w:val="4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  <w:highlight w:val="white"/>
          <w:u w:val="single"/>
        </w:rPr>
        <w:t>Grasa saturada</w:t>
      </w:r>
      <w:r>
        <w:rPr>
          <w:rFonts w:ascii="Verdana" w:eastAsia="Verdana" w:hAnsi="Verdana" w:cs="Verdana"/>
          <w:sz w:val="20"/>
          <w:szCs w:val="20"/>
          <w:highlight w:val="white"/>
          <w:vertAlign w:val="superscript"/>
        </w:rPr>
        <w:footnoteReference w:id="2"/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: </w:t>
      </w:r>
      <w:r>
        <w:rPr>
          <w:rFonts w:ascii="Verdana" w:eastAsia="Verdana" w:hAnsi="Verdana" w:cs="Verdana"/>
          <w:sz w:val="20"/>
          <w:szCs w:val="20"/>
        </w:rPr>
        <w:t>Según los criterios de la Organización Panamericana de la Salud (OPS), este producto contiene el doble de la recomendación de grasa saturada, el 20% de las calorías totales del producto. De las calorías totales del producto, el 36% de las calorías proviene</w:t>
      </w:r>
      <w:r>
        <w:rPr>
          <w:rFonts w:ascii="Verdana" w:eastAsia="Verdana" w:hAnsi="Verdana" w:cs="Verdana"/>
          <w:sz w:val="20"/>
          <w:szCs w:val="20"/>
        </w:rPr>
        <w:t xml:space="preserve">n de los 4 gramos de grasa saturada. </w:t>
      </w:r>
    </w:p>
    <w:p w14:paraId="00000045" w14:textId="77777777" w:rsidR="008F5DCF" w:rsidRDefault="008F5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</w:p>
    <w:p w14:paraId="00000046" w14:textId="77777777" w:rsidR="008F5DCF" w:rsidRDefault="00F22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Aditivos que contiene este producto: </w:t>
      </w:r>
    </w:p>
    <w:p w14:paraId="00000047" w14:textId="77777777" w:rsidR="008F5DCF" w:rsidRDefault="008F5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</w:p>
    <w:p w14:paraId="00000048" w14:textId="77777777" w:rsidR="008F5DCF" w:rsidRDefault="00F229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Terbutilhidroquinona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(TBHQ) (E-319):  usado como antioxidante sintético. (</w:t>
      </w:r>
      <w:r>
        <w:rPr>
          <w:rFonts w:ascii="Verdana" w:eastAsia="Verdana" w:hAnsi="Verdana" w:cs="Verdana"/>
          <w:sz w:val="20"/>
          <w:szCs w:val="20"/>
          <w:highlight w:val="white"/>
        </w:rPr>
        <w:t>5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) Estudios han demostrado que estimulan la citotoxicidad e induce la apoptosis temprana sobre las células endoteliales de la vena umbilical humana, así como que estimula la apoptosis y la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carcinogenicidad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sobre la línea celular de carcinoma de pulmón sobre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la vena umbilical humana (6,7).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Este aditivo tiene potencial efecto nocivo para la salud.</w:t>
      </w:r>
    </w:p>
    <w:p w14:paraId="00000049" w14:textId="77777777" w:rsidR="008F5DCF" w:rsidRDefault="00F229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Tripolifosfato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de sodio (E-451i): usado como estabilizante y regulador de acidez. (5)</w:t>
      </w:r>
    </w:p>
    <w:p w14:paraId="0000004A" w14:textId="77777777" w:rsidR="008F5DCF" w:rsidRDefault="00F2294C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lastRenderedPageBreak/>
        <w:t>Carbonato de sodio (E-500i): usado como anti aglomerante sintético. (5)</w:t>
      </w:r>
    </w:p>
    <w:p w14:paraId="0000004B" w14:textId="77777777" w:rsidR="008F5DCF" w:rsidRDefault="00F229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Carbonato de potasio (E-502i): usado </w:t>
      </w:r>
      <w:r>
        <w:rPr>
          <w:rFonts w:ascii="Verdana" w:eastAsia="Verdana" w:hAnsi="Verdana" w:cs="Verdana"/>
          <w:color w:val="000000"/>
          <w:sz w:val="20"/>
          <w:szCs w:val="20"/>
        </w:rPr>
        <w:t>como anti-aglomerante sintético</w:t>
      </w:r>
      <w:r>
        <w:rPr>
          <w:rFonts w:ascii="Verdana" w:eastAsia="Verdana" w:hAnsi="Verdana" w:cs="Verdana"/>
          <w:sz w:val="20"/>
          <w:szCs w:val="20"/>
        </w:rPr>
        <w:t>. (5)</w:t>
      </w:r>
    </w:p>
    <w:p w14:paraId="0000004C" w14:textId="77777777" w:rsidR="008F5DCF" w:rsidRDefault="00F229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Curcumina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Usado como colorante. Está relacionado con </w:t>
      </w:r>
      <w:r>
        <w:rPr>
          <w:rFonts w:ascii="Verdana" w:eastAsia="Verdana" w:hAnsi="Verdana" w:cs="Verdana"/>
          <w:color w:val="000000"/>
          <w:sz w:val="20"/>
          <w:szCs w:val="20"/>
        </w:rPr>
        <w:t>dermatitis por contacto en personas alérgicas, en personas con ulcera gástrica puede llegar a producir acidez, náuseas y diarrea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En personas que usan anticoagulantes aumenta el riesgo de sangrado y en personas con caculos biliares activos se debe restringir debido a que aumenta la contracción vesicular (8). </w:t>
      </w: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Este aditivo tiene potencial efecto nocivo para la salud.</w:t>
      </w:r>
    </w:p>
    <w:p w14:paraId="0000004D" w14:textId="77777777" w:rsidR="008F5DCF" w:rsidRDefault="00F2294C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Tocoferoles conc</w:t>
      </w:r>
      <w:r>
        <w:rPr>
          <w:rFonts w:ascii="Verdana" w:eastAsia="Verdana" w:hAnsi="Verdana" w:cs="Verdana"/>
          <w:sz w:val="20"/>
          <w:szCs w:val="20"/>
        </w:rPr>
        <w:t>entrados (Antioxidante).</w:t>
      </w:r>
    </w:p>
    <w:p w14:paraId="0000004E" w14:textId="77777777" w:rsidR="008F5DCF" w:rsidRDefault="00F229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Glutamato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Monosódico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(E-621):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Usado como realzador de sabor. Varios estudios tanto en humanos como animales han encontrado una asociación de este aditivo con obesidad, diabetes,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hepatotoxicidad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, así como efectos neurotóxicos y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geno</w:t>
      </w:r>
      <w:r>
        <w:rPr>
          <w:rFonts w:ascii="Verdana" w:eastAsia="Verdana" w:hAnsi="Verdana" w:cs="Verdana"/>
          <w:sz w:val="20"/>
          <w:szCs w:val="20"/>
          <w:highlight w:val="white"/>
        </w:rPr>
        <w:t>tóxicos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(en linfocitos humanos)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. (9,10) </w:t>
      </w: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Este aditivo tiene potencial efecto nocivo para la salud.</w:t>
      </w:r>
    </w:p>
    <w:p w14:paraId="0000004F" w14:textId="77777777" w:rsidR="008F5DCF" w:rsidRDefault="00F229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Inosinato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de sodio (E-631): usado como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acentuador 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de sabor sintético.  (5)</w:t>
      </w:r>
    </w:p>
    <w:p w14:paraId="00000050" w14:textId="77777777" w:rsidR="008F5DCF" w:rsidRDefault="00F229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Guanilato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de sodio (E-627): usado como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acentuador 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de sabor sintético. (5)</w:t>
      </w:r>
    </w:p>
    <w:p w14:paraId="00000051" w14:textId="77777777" w:rsidR="008F5DCF" w:rsidRDefault="00F229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Sabor a g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allina igual al natural: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n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o refiere qu</w:t>
      </w:r>
      <w:r>
        <w:rPr>
          <w:rFonts w:ascii="Verdana" w:eastAsia="Verdana" w:hAnsi="Verdana" w:cs="Verdana"/>
          <w:sz w:val="20"/>
          <w:szCs w:val="20"/>
          <w:highlight w:val="white"/>
        </w:rPr>
        <w:t>é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tipo de químico utiliza, sus efectos pueden ser inciertos. </w:t>
      </w:r>
    </w:p>
    <w:p w14:paraId="00000052" w14:textId="77777777" w:rsidR="008F5DCF" w:rsidRDefault="00F229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Sabor de tuco igual al natural: </w:t>
      </w:r>
      <w:r>
        <w:rPr>
          <w:rFonts w:ascii="Verdana" w:eastAsia="Verdana" w:hAnsi="Verdana" w:cs="Verdana"/>
          <w:sz w:val="20"/>
          <w:szCs w:val="20"/>
          <w:highlight w:val="white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o refiere qu</w:t>
      </w:r>
      <w:r>
        <w:rPr>
          <w:rFonts w:ascii="Verdana" w:eastAsia="Verdana" w:hAnsi="Verdana" w:cs="Verdana"/>
          <w:sz w:val="20"/>
          <w:szCs w:val="20"/>
          <w:highlight w:val="white"/>
        </w:rPr>
        <w:t>é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tipo de químico utiliza, sus efectos pueden ser inciertos.</w:t>
      </w:r>
    </w:p>
    <w:p w14:paraId="00000053" w14:textId="77777777" w:rsidR="008F5DCF" w:rsidRDefault="00F229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Dióxido de silicio amorfo (E-551): usado como anti aglomerante natural o sintético. (5)</w:t>
      </w:r>
    </w:p>
    <w:p w14:paraId="00000054" w14:textId="77777777" w:rsidR="008F5DCF" w:rsidRDefault="008F5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</w:p>
    <w:p w14:paraId="00000055" w14:textId="77777777" w:rsidR="008F5DCF" w:rsidRDefault="00F22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Recomendaciones finales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: Una buena alternativa a este producto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es la preparación y consumo de sopas caseras, con alimentos naturales y frescos. </w:t>
      </w:r>
    </w:p>
    <w:p w14:paraId="00000056" w14:textId="77777777" w:rsidR="008F5DCF" w:rsidRDefault="008F5DCF">
      <w:pPr>
        <w:widowControl w:val="0"/>
        <w:spacing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000057" w14:textId="77777777" w:rsidR="008F5DCF" w:rsidRDefault="00F2294C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Elaborado por: ND Paula Ardila, ND </w:t>
      </w:r>
      <w:proofErr w:type="spellStart"/>
      <w:r>
        <w:rPr>
          <w:rFonts w:ascii="Verdana" w:eastAsia="Verdana" w:hAnsi="Verdana" w:cs="Verdana"/>
          <w:sz w:val="20"/>
          <w:szCs w:val="20"/>
        </w:rPr>
        <w:t>Yessica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Gil</w:t>
      </w:r>
      <w:r>
        <w:rPr>
          <w:rFonts w:ascii="Verdana" w:eastAsia="Verdana" w:hAnsi="Verdana" w:cs="Verdana"/>
          <w:sz w:val="20"/>
          <w:szCs w:val="20"/>
          <w:vertAlign w:val="superscript"/>
        </w:rPr>
        <w:footnoteReference w:id="3"/>
      </w:r>
      <w:r>
        <w:rPr>
          <w:rFonts w:ascii="Verdana" w:eastAsia="Verdana" w:hAnsi="Verdana" w:cs="Verdana"/>
          <w:sz w:val="20"/>
          <w:szCs w:val="20"/>
        </w:rPr>
        <w:t xml:space="preserve">, ND </w:t>
      </w:r>
      <w:proofErr w:type="spellStart"/>
      <w:r>
        <w:rPr>
          <w:rFonts w:ascii="Verdana" w:eastAsia="Verdana" w:hAnsi="Verdana" w:cs="Verdana"/>
          <w:sz w:val="20"/>
          <w:szCs w:val="20"/>
        </w:rPr>
        <w:t>Kathleen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Forbes</w:t>
      </w:r>
      <w:r>
        <w:rPr>
          <w:rFonts w:ascii="Verdana" w:eastAsia="Verdana" w:hAnsi="Verdana" w:cs="Verdana"/>
          <w:sz w:val="20"/>
          <w:szCs w:val="20"/>
          <w:vertAlign w:val="superscript"/>
        </w:rPr>
        <w:t>4</w:t>
      </w:r>
      <w:r>
        <w:rPr>
          <w:rFonts w:ascii="Verdana" w:eastAsia="Verdana" w:hAnsi="Verdana" w:cs="Verdana"/>
          <w:sz w:val="20"/>
          <w:szCs w:val="20"/>
        </w:rPr>
        <w:t>, ND Daniela Tinoco⁴, Fabián Avellaneda⁴.</w:t>
      </w:r>
    </w:p>
    <w:p w14:paraId="00000058" w14:textId="77777777" w:rsidR="008F5DCF" w:rsidRDefault="00F2294C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Revisó: ND Mercedes Mora Plazas, ND Rubén Orjuela, MSP Sharon Sánchez</w:t>
      </w:r>
    </w:p>
    <w:p w14:paraId="00000059" w14:textId="77777777" w:rsidR="008F5DCF" w:rsidRDefault="008F5DCF">
      <w:pPr>
        <w:spacing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0000005A" w14:textId="77777777" w:rsidR="008F5DCF" w:rsidRDefault="00F2294C">
      <w:pPr>
        <w:spacing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Nota: </w:t>
      </w:r>
      <w:r>
        <w:rPr>
          <w:rFonts w:ascii="Verdana" w:eastAsia="Verdana" w:hAnsi="Verdana" w:cs="Verdana"/>
          <w:sz w:val="20"/>
          <w:szCs w:val="20"/>
        </w:rPr>
        <w:t>Para mayor información consultar el documento “Anexo técnico radiogra</w:t>
      </w:r>
      <w:r>
        <w:rPr>
          <w:rFonts w:ascii="Verdana" w:eastAsia="Verdana" w:hAnsi="Verdana" w:cs="Verdana"/>
          <w:sz w:val="20"/>
          <w:szCs w:val="20"/>
        </w:rPr>
        <w:t>fías”</w:t>
      </w:r>
    </w:p>
    <w:p w14:paraId="0000005B" w14:textId="77777777" w:rsidR="008F5DCF" w:rsidRDefault="008F5DCF">
      <w:pPr>
        <w:spacing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0000005C" w14:textId="77777777" w:rsidR="008F5DCF" w:rsidRDefault="00F2294C">
      <w:pPr>
        <w:spacing w:line="240" w:lineRule="auto"/>
        <w:ind w:left="0" w:hanging="2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Bibliografía:</w:t>
      </w:r>
    </w:p>
    <w:p w14:paraId="0000005D" w14:textId="77777777" w:rsidR="008F5DCF" w:rsidRDefault="00F2294C">
      <w:pPr>
        <w:widowControl w:val="0"/>
        <w:numPr>
          <w:ilvl w:val="0"/>
          <w:numId w:val="3"/>
        </w:numPr>
        <w:spacing w:after="20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Organización Panamericana de la Salud. (2016). Modelo de perfil de nutrientes de la Organización Panamericana de la Salud. </w:t>
      </w:r>
      <w:proofErr w:type="spellStart"/>
      <w:r>
        <w:rPr>
          <w:rFonts w:ascii="Verdana" w:eastAsia="Verdana" w:hAnsi="Verdana" w:cs="Verdana"/>
          <w:sz w:val="20"/>
          <w:szCs w:val="20"/>
        </w:rPr>
        <w:t>Available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from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</w:t>
      </w:r>
      <w:hyperlink r:id="rId8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www.paho.org/permissions</w:t>
        </w:r>
      </w:hyperlink>
    </w:p>
    <w:p w14:paraId="0000005E" w14:textId="77777777" w:rsidR="008F5DCF" w:rsidRDefault="00F2294C">
      <w:pPr>
        <w:widowControl w:val="0"/>
        <w:numPr>
          <w:ilvl w:val="0"/>
          <w:numId w:val="3"/>
        </w:numPr>
        <w:spacing w:after="20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Chaib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R., &amp; </w:t>
      </w:r>
      <w:proofErr w:type="spellStart"/>
      <w:r>
        <w:rPr>
          <w:rFonts w:ascii="Verdana" w:eastAsia="Verdana" w:hAnsi="Verdana" w:cs="Verdana"/>
          <w:sz w:val="20"/>
          <w:szCs w:val="20"/>
        </w:rPr>
        <w:t>Barone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M. (2020). Uses of </w:t>
      </w:r>
      <w:proofErr w:type="spellStart"/>
      <w:r>
        <w:rPr>
          <w:rFonts w:ascii="Verdana" w:eastAsia="Verdana" w:hAnsi="Verdana" w:cs="Verdana"/>
          <w:sz w:val="20"/>
          <w:szCs w:val="20"/>
        </w:rPr>
        <w:t>Chemicals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 </w:t>
      </w:r>
      <w:proofErr w:type="spellStart"/>
      <w:r>
        <w:rPr>
          <w:rFonts w:ascii="Verdana" w:eastAsia="Verdana" w:hAnsi="Verdana" w:cs="Verdana"/>
          <w:sz w:val="20"/>
          <w:szCs w:val="20"/>
        </w:rPr>
        <w:t>the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Food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 </w:t>
      </w:r>
      <w:proofErr w:type="spellStart"/>
      <w:r>
        <w:rPr>
          <w:rFonts w:ascii="Verdana" w:eastAsia="Verdana" w:hAnsi="Verdana" w:cs="Verdana"/>
          <w:sz w:val="20"/>
          <w:szCs w:val="20"/>
        </w:rPr>
        <w:t>Beverage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Industry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In </w:t>
      </w:r>
      <w:proofErr w:type="spellStart"/>
      <w:r>
        <w:rPr>
          <w:rFonts w:ascii="Verdana" w:eastAsia="Verdana" w:hAnsi="Verdana" w:cs="Verdana"/>
          <w:sz w:val="20"/>
          <w:szCs w:val="20"/>
        </w:rPr>
        <w:t>Chemicals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 </w:t>
      </w:r>
      <w:proofErr w:type="spellStart"/>
      <w:r>
        <w:rPr>
          <w:rFonts w:ascii="Verdana" w:eastAsia="Verdana" w:hAnsi="Verdana" w:cs="Verdana"/>
          <w:sz w:val="20"/>
          <w:szCs w:val="20"/>
        </w:rPr>
        <w:t>the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Food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Industry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(pp. 35-42). </w:t>
      </w:r>
      <w:proofErr w:type="spellStart"/>
      <w:r>
        <w:rPr>
          <w:rFonts w:ascii="Verdana" w:eastAsia="Verdana" w:hAnsi="Verdana" w:cs="Verdana"/>
          <w:sz w:val="20"/>
          <w:szCs w:val="20"/>
        </w:rPr>
        <w:t>Springer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Cham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5F" w14:textId="77777777" w:rsidR="008F5DCF" w:rsidRDefault="00F2294C">
      <w:pPr>
        <w:widowControl w:val="0"/>
        <w:numPr>
          <w:ilvl w:val="0"/>
          <w:numId w:val="3"/>
        </w:numPr>
        <w:spacing w:after="20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Jansen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T., </w:t>
      </w:r>
      <w:proofErr w:type="spellStart"/>
      <w:r>
        <w:rPr>
          <w:rFonts w:ascii="Verdana" w:eastAsia="Verdana" w:hAnsi="Verdana" w:cs="Verdana"/>
          <w:sz w:val="20"/>
          <w:szCs w:val="20"/>
        </w:rPr>
        <w:t>Claassen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L., van </w:t>
      </w:r>
      <w:proofErr w:type="spellStart"/>
      <w:r>
        <w:rPr>
          <w:rFonts w:ascii="Verdana" w:eastAsia="Verdana" w:hAnsi="Verdana" w:cs="Verdana"/>
          <w:sz w:val="20"/>
          <w:szCs w:val="20"/>
        </w:rPr>
        <w:t>Kamp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I., &amp; </w:t>
      </w:r>
      <w:proofErr w:type="spellStart"/>
      <w:r>
        <w:rPr>
          <w:rFonts w:ascii="Verdana" w:eastAsia="Verdana" w:hAnsi="Verdana" w:cs="Verdana"/>
          <w:sz w:val="20"/>
          <w:szCs w:val="20"/>
        </w:rPr>
        <w:t>Timmermans</w:t>
      </w:r>
      <w:proofErr w:type="spellEnd"/>
      <w:r>
        <w:rPr>
          <w:rFonts w:ascii="Verdana" w:eastAsia="Verdana" w:hAnsi="Verdana" w:cs="Verdana"/>
          <w:sz w:val="20"/>
          <w:szCs w:val="20"/>
        </w:rPr>
        <w:t>, D. R. (2020). ‘</w:t>
      </w:r>
      <w:proofErr w:type="spellStart"/>
      <w:r>
        <w:rPr>
          <w:rFonts w:ascii="Verdana" w:eastAsia="Verdana" w:hAnsi="Verdana" w:cs="Verdana"/>
          <w:sz w:val="20"/>
          <w:szCs w:val="20"/>
        </w:rPr>
        <w:t>All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chemical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substances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are </w:t>
      </w:r>
      <w:proofErr w:type="spellStart"/>
      <w:r>
        <w:rPr>
          <w:rFonts w:ascii="Verdana" w:eastAsia="Verdana" w:hAnsi="Verdana" w:cs="Verdana"/>
          <w:sz w:val="20"/>
          <w:szCs w:val="20"/>
        </w:rPr>
        <w:t>harmful</w:t>
      </w:r>
      <w:proofErr w:type="spellEnd"/>
      <w:r>
        <w:rPr>
          <w:rFonts w:ascii="Verdana" w:eastAsia="Verdana" w:hAnsi="Verdana" w:cs="Verdana"/>
          <w:sz w:val="20"/>
          <w:szCs w:val="20"/>
        </w:rPr>
        <w:t>.’</w:t>
      </w:r>
      <w:proofErr w:type="spellStart"/>
      <w:r>
        <w:rPr>
          <w:rFonts w:ascii="Verdana" w:eastAsia="Verdana" w:hAnsi="Verdana" w:cs="Verdana"/>
          <w:sz w:val="20"/>
          <w:szCs w:val="20"/>
        </w:rPr>
        <w:t>pu</w:t>
      </w:r>
      <w:r>
        <w:rPr>
          <w:rFonts w:ascii="Verdana" w:eastAsia="Verdana" w:hAnsi="Verdana" w:cs="Verdana"/>
          <w:sz w:val="20"/>
          <w:szCs w:val="20"/>
        </w:rPr>
        <w:t>blic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appraisal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of </w:t>
      </w:r>
      <w:proofErr w:type="spellStart"/>
      <w:r>
        <w:rPr>
          <w:rFonts w:ascii="Verdana" w:eastAsia="Verdana" w:hAnsi="Verdana" w:cs="Verdana"/>
          <w:sz w:val="20"/>
          <w:szCs w:val="20"/>
        </w:rPr>
        <w:t>uncertain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risks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of </w:t>
      </w:r>
      <w:proofErr w:type="spellStart"/>
      <w:r>
        <w:rPr>
          <w:rFonts w:ascii="Verdana" w:eastAsia="Verdana" w:hAnsi="Verdana" w:cs="Verdana"/>
          <w:sz w:val="20"/>
          <w:szCs w:val="20"/>
        </w:rPr>
        <w:t>food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additives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 </w:t>
      </w:r>
      <w:proofErr w:type="spellStart"/>
      <w:r>
        <w:rPr>
          <w:rFonts w:ascii="Verdana" w:eastAsia="Verdana" w:hAnsi="Verdana" w:cs="Verdana"/>
          <w:sz w:val="20"/>
          <w:szCs w:val="20"/>
        </w:rPr>
        <w:t>contaminants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Food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 </w:t>
      </w:r>
      <w:proofErr w:type="spellStart"/>
      <w:r>
        <w:rPr>
          <w:rFonts w:ascii="Verdana" w:eastAsia="Verdana" w:hAnsi="Verdana" w:cs="Verdana"/>
          <w:sz w:val="20"/>
          <w:szCs w:val="20"/>
        </w:rPr>
        <w:t>Chemical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Toxicology</w:t>
      </w:r>
      <w:proofErr w:type="spellEnd"/>
      <w:r>
        <w:rPr>
          <w:rFonts w:ascii="Verdana" w:eastAsia="Verdana" w:hAnsi="Verdana" w:cs="Verdana"/>
          <w:sz w:val="20"/>
          <w:szCs w:val="20"/>
        </w:rPr>
        <w:t>, 136, 110959.</w:t>
      </w:r>
    </w:p>
    <w:p w14:paraId="00000060" w14:textId="77777777" w:rsidR="008F5DCF" w:rsidRDefault="00F2294C">
      <w:pPr>
        <w:numPr>
          <w:ilvl w:val="0"/>
          <w:numId w:val="3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Elizabeth, L., Machado, P., </w:t>
      </w:r>
      <w:proofErr w:type="spellStart"/>
      <w:r>
        <w:rPr>
          <w:rFonts w:ascii="Verdana" w:eastAsia="Verdana" w:hAnsi="Verdana" w:cs="Verdana"/>
          <w:sz w:val="20"/>
          <w:szCs w:val="20"/>
        </w:rPr>
        <w:t>Zinöcker</w:t>
      </w:r>
      <w:proofErr w:type="spellEnd"/>
      <w:r>
        <w:rPr>
          <w:rFonts w:ascii="Verdana" w:eastAsia="Verdana" w:hAnsi="Verdana" w:cs="Verdana"/>
          <w:sz w:val="20"/>
          <w:szCs w:val="20"/>
        </w:rPr>
        <w:t>, M., Baker, P., &amp; Lawrence, M. (2020). Ultra-</w:t>
      </w:r>
      <w:proofErr w:type="spellStart"/>
      <w:r>
        <w:rPr>
          <w:rFonts w:ascii="Verdana" w:eastAsia="Verdana" w:hAnsi="Verdana" w:cs="Verdana"/>
          <w:sz w:val="20"/>
          <w:szCs w:val="20"/>
        </w:rPr>
        <w:t>processed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foods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 </w:t>
      </w:r>
      <w:proofErr w:type="spellStart"/>
      <w:r>
        <w:rPr>
          <w:rFonts w:ascii="Verdana" w:eastAsia="Verdana" w:hAnsi="Verdana" w:cs="Verdana"/>
          <w:sz w:val="20"/>
          <w:szCs w:val="20"/>
        </w:rPr>
        <w:t>health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outcomes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a </w:t>
      </w:r>
      <w:proofErr w:type="spellStart"/>
      <w:r>
        <w:rPr>
          <w:rFonts w:ascii="Verdana" w:eastAsia="Verdana" w:hAnsi="Verdana" w:cs="Verdana"/>
          <w:sz w:val="20"/>
          <w:szCs w:val="20"/>
        </w:rPr>
        <w:t>narrative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review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Nutr</w:t>
      </w:r>
      <w:r>
        <w:rPr>
          <w:rFonts w:ascii="Verdana" w:eastAsia="Verdana" w:hAnsi="Verdana" w:cs="Verdana"/>
          <w:sz w:val="20"/>
          <w:szCs w:val="20"/>
        </w:rPr>
        <w:t>ients</w:t>
      </w:r>
      <w:proofErr w:type="spellEnd"/>
      <w:r>
        <w:rPr>
          <w:rFonts w:ascii="Verdana" w:eastAsia="Verdana" w:hAnsi="Verdana" w:cs="Verdana"/>
          <w:sz w:val="20"/>
          <w:szCs w:val="20"/>
        </w:rPr>
        <w:t>. 12(7), 1995.</w:t>
      </w:r>
    </w:p>
    <w:p w14:paraId="00000061" w14:textId="77777777" w:rsidR="008F5DCF" w:rsidRDefault="00F2294C">
      <w:pPr>
        <w:numPr>
          <w:ilvl w:val="0"/>
          <w:numId w:val="3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ALIMENTARIOS, S. A. (1996). Programa conjunto FAO/OMS sobre normas alimentarias Comisión del Codex </w:t>
      </w:r>
      <w:proofErr w:type="spellStart"/>
      <w:r>
        <w:rPr>
          <w:rFonts w:ascii="Verdana" w:eastAsia="Verdana" w:hAnsi="Verdana" w:cs="Verdana"/>
          <w:sz w:val="20"/>
          <w:szCs w:val="20"/>
        </w:rPr>
        <w:t>Alimentarius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t>https://www.fao.org/fao-who-codexalimentarius/sh-proxy/en/?lnk=1&amp;url=https%253A%252F%252Fworkspace.fao.org%252Fsites%252Fco</w:t>
      </w:r>
      <w:r>
        <w:t>dex%252FStandards%252FCXS%2B192-1995%252FCXS_192s.pdf</w:t>
      </w:r>
    </w:p>
    <w:p w14:paraId="00000062" w14:textId="77777777" w:rsidR="008F5DCF" w:rsidRDefault="00F2294C">
      <w:pPr>
        <w:numPr>
          <w:ilvl w:val="0"/>
          <w:numId w:val="3"/>
        </w:numPr>
        <w:ind w:left="0" w:hanging="2"/>
      </w:pPr>
      <w:proofErr w:type="spellStart"/>
      <w:r>
        <w:rPr>
          <w:rFonts w:ascii="Roboto" w:eastAsia="Roboto" w:hAnsi="Roboto" w:cs="Roboto"/>
          <w:sz w:val="20"/>
          <w:szCs w:val="20"/>
        </w:rPr>
        <w:t>Karimi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Z., </w:t>
      </w:r>
      <w:proofErr w:type="spellStart"/>
      <w:r>
        <w:rPr>
          <w:rFonts w:ascii="Roboto" w:eastAsia="Roboto" w:hAnsi="Roboto" w:cs="Roboto"/>
          <w:sz w:val="20"/>
          <w:szCs w:val="20"/>
        </w:rPr>
        <w:t>Ezzati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J., </w:t>
      </w:r>
      <w:proofErr w:type="spellStart"/>
      <w:r>
        <w:rPr>
          <w:rFonts w:ascii="Roboto" w:eastAsia="Roboto" w:hAnsi="Roboto" w:cs="Roboto"/>
          <w:sz w:val="20"/>
          <w:szCs w:val="20"/>
        </w:rPr>
        <w:t>Dolatabadi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N. y </w:t>
      </w:r>
      <w:proofErr w:type="spellStart"/>
      <w:r>
        <w:rPr>
          <w:rFonts w:ascii="Roboto" w:eastAsia="Roboto" w:hAnsi="Roboto" w:cs="Roboto"/>
          <w:sz w:val="20"/>
          <w:szCs w:val="20"/>
        </w:rPr>
        <w:t>Dehghan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P. (2019). </w:t>
      </w:r>
      <w:proofErr w:type="spellStart"/>
      <w:r>
        <w:rPr>
          <w:rFonts w:ascii="Roboto" w:eastAsia="Roboto" w:hAnsi="Roboto" w:cs="Roboto"/>
          <w:sz w:val="20"/>
          <w:szCs w:val="20"/>
        </w:rPr>
        <w:t>The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protective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effect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thymoquinone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tertbutylhydroquinone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induced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cytotoxicity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human umbilical </w:t>
      </w:r>
      <w:proofErr w:type="spellStart"/>
      <w:r>
        <w:rPr>
          <w:rFonts w:ascii="Roboto" w:eastAsia="Roboto" w:hAnsi="Roboto" w:cs="Roboto"/>
          <w:sz w:val="20"/>
          <w:szCs w:val="20"/>
        </w:rPr>
        <w:t>vein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endothelial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cells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Toxicology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Res</w:t>
      </w:r>
      <w:r>
        <w:rPr>
          <w:rFonts w:ascii="Roboto" w:eastAsia="Roboto" w:hAnsi="Roboto" w:cs="Roboto"/>
          <w:sz w:val="20"/>
          <w:szCs w:val="20"/>
        </w:rPr>
        <w:t>earch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1050-1056. </w:t>
      </w:r>
      <w:proofErr w:type="spellStart"/>
      <w:r>
        <w:rPr>
          <w:rFonts w:ascii="Roboto" w:eastAsia="Roboto" w:hAnsi="Roboto" w:cs="Roboto"/>
          <w:sz w:val="20"/>
          <w:szCs w:val="20"/>
        </w:rPr>
        <w:t>doi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hyperlink r:id="rId9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https://doi.org/10.1039/c9tx00235a</w:t>
        </w:r>
      </w:hyperlink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00000063" w14:textId="77777777" w:rsidR="008F5DCF" w:rsidRDefault="00F2294C">
      <w:pPr>
        <w:numPr>
          <w:ilvl w:val="0"/>
          <w:numId w:val="3"/>
        </w:numPr>
        <w:ind w:left="0" w:hanging="2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Eskandani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M., </w:t>
      </w:r>
      <w:proofErr w:type="spellStart"/>
      <w:r>
        <w:rPr>
          <w:rFonts w:ascii="Roboto" w:eastAsia="Roboto" w:hAnsi="Roboto" w:cs="Roboto"/>
          <w:sz w:val="20"/>
          <w:szCs w:val="20"/>
        </w:rPr>
        <w:t>Hamishehkar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H., </w:t>
      </w:r>
      <w:proofErr w:type="spellStart"/>
      <w:r>
        <w:rPr>
          <w:rFonts w:ascii="Roboto" w:eastAsia="Roboto" w:hAnsi="Roboto" w:cs="Roboto"/>
          <w:sz w:val="20"/>
          <w:szCs w:val="20"/>
        </w:rPr>
        <w:t>Ezzati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J. y </w:t>
      </w:r>
      <w:proofErr w:type="spellStart"/>
      <w:r>
        <w:rPr>
          <w:rFonts w:ascii="Roboto" w:eastAsia="Roboto" w:hAnsi="Roboto" w:cs="Roboto"/>
          <w:sz w:val="20"/>
          <w:szCs w:val="20"/>
        </w:rPr>
        <w:t>Dolatabadi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N. (2014). </w:t>
      </w:r>
      <w:proofErr w:type="spellStart"/>
      <w:r>
        <w:rPr>
          <w:rFonts w:ascii="Roboto" w:eastAsia="Roboto" w:hAnsi="Roboto" w:cs="Roboto"/>
          <w:sz w:val="20"/>
          <w:szCs w:val="20"/>
        </w:rPr>
        <w:t>Cytotoxicity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and DNA </w:t>
      </w:r>
      <w:proofErr w:type="spellStart"/>
      <w:r>
        <w:rPr>
          <w:rFonts w:ascii="Roboto" w:eastAsia="Roboto" w:hAnsi="Roboto" w:cs="Roboto"/>
          <w:sz w:val="20"/>
          <w:szCs w:val="20"/>
        </w:rPr>
        <w:t>damage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properties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tertbutylhydroquinone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(TBHQ) </w:t>
      </w:r>
      <w:proofErr w:type="spellStart"/>
      <w:r>
        <w:rPr>
          <w:rFonts w:ascii="Roboto" w:eastAsia="Roboto" w:hAnsi="Roboto" w:cs="Roboto"/>
          <w:sz w:val="20"/>
          <w:szCs w:val="20"/>
        </w:rPr>
        <w:t>food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additive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Food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Chemistry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153(2014), 315-320. </w:t>
      </w:r>
      <w:proofErr w:type="spellStart"/>
      <w:r>
        <w:rPr>
          <w:rFonts w:ascii="Roboto" w:eastAsia="Roboto" w:hAnsi="Roboto" w:cs="Roboto"/>
          <w:sz w:val="20"/>
          <w:szCs w:val="20"/>
        </w:rPr>
        <w:t>doi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hyperlink r:id="rId10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https://doi.org/10.1016/j.foodchem.2013.12.087</w:t>
        </w:r>
      </w:hyperlink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00000064" w14:textId="77777777" w:rsidR="008F5DCF" w:rsidRDefault="00F2294C">
      <w:pPr>
        <w:numPr>
          <w:ilvl w:val="0"/>
          <w:numId w:val="3"/>
        </w:numPr>
        <w:ind w:left="0" w:hanging="2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Laffita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O., &amp; Castillo, A. (2011). ACTUALIZACIÓN DE TEMA: Avances en la caracterización </w:t>
      </w:r>
      <w:proofErr w:type="spellStart"/>
      <w:r>
        <w:rPr>
          <w:rFonts w:ascii="Roboto" w:eastAsia="Roboto" w:hAnsi="Roboto" w:cs="Roboto"/>
          <w:sz w:val="20"/>
          <w:szCs w:val="20"/>
        </w:rPr>
        <w:t>f</w:t>
      </w:r>
      <w:r>
        <w:rPr>
          <w:rFonts w:ascii="Roboto" w:eastAsia="Roboto" w:hAnsi="Roboto" w:cs="Roboto"/>
          <w:sz w:val="20"/>
          <w:szCs w:val="20"/>
        </w:rPr>
        <w:t>armacotoxicológica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la planta medicinal </w:t>
      </w:r>
      <w:proofErr w:type="spellStart"/>
      <w:r>
        <w:rPr>
          <w:rFonts w:ascii="Roboto" w:eastAsia="Roboto" w:hAnsi="Roboto" w:cs="Roboto"/>
          <w:sz w:val="20"/>
          <w:szCs w:val="20"/>
        </w:rPr>
        <w:t>Curcuma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longa </w:t>
      </w:r>
      <w:proofErr w:type="spellStart"/>
      <w:r>
        <w:rPr>
          <w:rFonts w:ascii="Roboto" w:eastAsia="Roboto" w:hAnsi="Roboto" w:cs="Roboto"/>
          <w:sz w:val="20"/>
          <w:szCs w:val="20"/>
        </w:rPr>
        <w:t>Linn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Medisan</w:t>
      </w:r>
      <w:proofErr w:type="spellEnd"/>
      <w:r>
        <w:rPr>
          <w:rFonts w:ascii="Roboto" w:eastAsia="Roboto" w:hAnsi="Roboto" w:cs="Roboto"/>
          <w:sz w:val="20"/>
          <w:szCs w:val="20"/>
        </w:rPr>
        <w:t>, 16(1), 97–114.</w:t>
      </w:r>
    </w:p>
    <w:p w14:paraId="00000065" w14:textId="77777777" w:rsidR="008F5DCF" w:rsidRDefault="00F2294C">
      <w:pPr>
        <w:numPr>
          <w:ilvl w:val="0"/>
          <w:numId w:val="3"/>
        </w:numPr>
        <w:ind w:left="0" w:hanging="2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Ataseven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N, </w:t>
      </w:r>
      <w:proofErr w:type="spellStart"/>
      <w:r>
        <w:rPr>
          <w:rFonts w:ascii="Roboto" w:eastAsia="Roboto" w:hAnsi="Roboto" w:cs="Roboto"/>
          <w:sz w:val="20"/>
          <w:szCs w:val="20"/>
        </w:rPr>
        <w:t>Yüzbaşıoğlu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D, </w:t>
      </w:r>
      <w:proofErr w:type="spellStart"/>
      <w:r>
        <w:rPr>
          <w:rFonts w:ascii="Roboto" w:eastAsia="Roboto" w:hAnsi="Roboto" w:cs="Roboto"/>
          <w:sz w:val="20"/>
          <w:szCs w:val="20"/>
        </w:rPr>
        <w:t>Keskin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A, </w:t>
      </w:r>
      <w:proofErr w:type="spellStart"/>
      <w:r>
        <w:rPr>
          <w:rFonts w:ascii="Roboto" w:eastAsia="Roboto" w:hAnsi="Roboto" w:cs="Roboto"/>
          <w:sz w:val="20"/>
          <w:szCs w:val="20"/>
        </w:rPr>
        <w:t>Ünal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F. </w:t>
      </w:r>
      <w:proofErr w:type="spellStart"/>
      <w:r>
        <w:rPr>
          <w:rFonts w:ascii="Roboto" w:eastAsia="Roboto" w:hAnsi="Roboto" w:cs="Roboto"/>
          <w:sz w:val="20"/>
          <w:szCs w:val="20"/>
        </w:rPr>
        <w:t>Genotoxicity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monosodium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glutamate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Food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and </w:t>
      </w:r>
      <w:proofErr w:type="spellStart"/>
      <w:r>
        <w:rPr>
          <w:rFonts w:ascii="Roboto" w:eastAsia="Roboto" w:hAnsi="Roboto" w:cs="Roboto"/>
          <w:sz w:val="20"/>
          <w:szCs w:val="20"/>
        </w:rPr>
        <w:t>Chemical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Toxicology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2016; 91: 8-18. </w:t>
      </w:r>
    </w:p>
    <w:p w14:paraId="00000066" w14:textId="77777777" w:rsidR="008F5DCF" w:rsidRDefault="00F2294C">
      <w:pPr>
        <w:numPr>
          <w:ilvl w:val="0"/>
          <w:numId w:val="3"/>
        </w:numPr>
        <w:ind w:left="0" w:hanging="2"/>
      </w:pPr>
      <w:proofErr w:type="spellStart"/>
      <w:r>
        <w:rPr>
          <w:rFonts w:ascii="Roboto" w:eastAsia="Roboto" w:hAnsi="Roboto" w:cs="Roboto"/>
          <w:sz w:val="20"/>
          <w:szCs w:val="20"/>
        </w:rPr>
        <w:t>Kazmi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Z, </w:t>
      </w:r>
      <w:proofErr w:type="spellStart"/>
      <w:r>
        <w:rPr>
          <w:rFonts w:ascii="Roboto" w:eastAsia="Roboto" w:hAnsi="Roboto" w:cs="Roboto"/>
          <w:sz w:val="20"/>
          <w:szCs w:val="20"/>
        </w:rPr>
        <w:t>Fatima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I, </w:t>
      </w:r>
      <w:proofErr w:type="spellStart"/>
      <w:r>
        <w:rPr>
          <w:rFonts w:ascii="Roboto" w:eastAsia="Roboto" w:hAnsi="Roboto" w:cs="Roboto"/>
          <w:sz w:val="20"/>
          <w:szCs w:val="20"/>
        </w:rPr>
        <w:t>Perveen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S, </w:t>
      </w:r>
      <w:proofErr w:type="spellStart"/>
      <w:r>
        <w:rPr>
          <w:rFonts w:ascii="Roboto" w:eastAsia="Roboto" w:hAnsi="Roboto" w:cs="Roboto"/>
          <w:sz w:val="20"/>
          <w:szCs w:val="20"/>
        </w:rPr>
        <w:t>Malik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S. </w:t>
      </w:r>
      <w:proofErr w:type="spellStart"/>
      <w:r>
        <w:rPr>
          <w:rFonts w:ascii="Roboto" w:eastAsia="Roboto" w:hAnsi="Roboto" w:cs="Roboto"/>
          <w:sz w:val="20"/>
          <w:szCs w:val="20"/>
        </w:rPr>
        <w:t>M</w:t>
      </w:r>
      <w:r>
        <w:rPr>
          <w:rFonts w:ascii="Roboto" w:eastAsia="Roboto" w:hAnsi="Roboto" w:cs="Roboto"/>
          <w:sz w:val="20"/>
          <w:szCs w:val="20"/>
        </w:rPr>
        <w:t>onosodium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t>glutamate</w:t>
      </w:r>
      <w:proofErr w:type="spellEnd"/>
      <w:r>
        <w:t xml:space="preserve">: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. International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>. 2017;1-9.</w:t>
      </w:r>
    </w:p>
    <w:sectPr w:rsidR="008F5DC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2BA03" w14:textId="77777777" w:rsidR="00F2294C" w:rsidRDefault="00F2294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F0D1BEE" w14:textId="77777777" w:rsidR="00F2294C" w:rsidRDefault="00F2294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D7DB5" w14:textId="77777777" w:rsidR="00F2294C" w:rsidRDefault="00F2294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24C2183" w14:textId="77777777" w:rsidR="00F2294C" w:rsidRDefault="00F2294C">
      <w:pPr>
        <w:spacing w:after="0" w:line="240" w:lineRule="auto"/>
        <w:ind w:left="0" w:hanging="2"/>
      </w:pPr>
      <w:r>
        <w:continuationSeparator/>
      </w:r>
    </w:p>
  </w:footnote>
  <w:footnote w:id="1">
    <w:p w14:paraId="00000067" w14:textId="77777777" w:rsidR="008F5DCF" w:rsidRDefault="00F2294C">
      <w:p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Según el perfil de Nutrientes de la Organización Panamericana de la Salud (OPS) 2016, un producto tiene exceso de sodio, cuando el sodio es igual o super</w:t>
      </w:r>
      <w:r>
        <w:rPr>
          <w:sz w:val="20"/>
          <w:szCs w:val="20"/>
        </w:rPr>
        <w:t>ior de 1 mg por cada kilocaloría aportada por la porción establecida por el fabricante en el etiquetado.</w:t>
      </w:r>
    </w:p>
  </w:footnote>
  <w:footnote w:id="2">
    <w:p w14:paraId="00000068" w14:textId="77777777" w:rsidR="008F5DCF" w:rsidRDefault="00F2294C">
      <w:p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Cada gramo de grasa saturada aporta 9 kilocalorías. La cantidad de una cuchara de postre equivale a 5 mililitros de aceite. Según el perfil de Nutrie</w:t>
      </w:r>
      <w:r>
        <w:rPr>
          <w:sz w:val="20"/>
          <w:szCs w:val="20"/>
        </w:rPr>
        <w:t>ntes de la Organización Panamericana de la Salud (OPS) 2016, un producto tiene exceso de grasa saturada, cuando las kilocalorías aportadas provenientes de la grasa saturada son iguales o superiores al 10 % de las kilocalorías aportadas por la porción estab</w:t>
      </w:r>
      <w:r>
        <w:rPr>
          <w:sz w:val="20"/>
          <w:szCs w:val="20"/>
        </w:rPr>
        <w:t xml:space="preserve">lecida por el fabricante en el etiquetado. </w:t>
      </w:r>
    </w:p>
  </w:footnote>
  <w:footnote w:id="3">
    <w:p w14:paraId="00000069" w14:textId="77777777" w:rsidR="008F5DCF" w:rsidRDefault="00F2294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Estudiante de pasantía de la carrera de Nutrición y Dietética del Departamento de Nutrición Humana de la Facultad de Medicina de la Universidad Nacional de Colombia.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5D8B"/>
    <w:multiLevelType w:val="multilevel"/>
    <w:tmpl w:val="BFBE8A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B965A4"/>
    <w:multiLevelType w:val="multilevel"/>
    <w:tmpl w:val="462C8F44"/>
    <w:lvl w:ilvl="0">
      <w:start w:val="1"/>
      <w:numFmt w:val="decimal"/>
      <w:lvlText w:val="%1."/>
      <w:lvlJc w:val="left"/>
      <w:pPr>
        <w:ind w:left="850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1D85C8A"/>
    <w:multiLevelType w:val="multilevel"/>
    <w:tmpl w:val="E6C813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006ADF"/>
    <w:multiLevelType w:val="multilevel"/>
    <w:tmpl w:val="66C628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2D5A02"/>
    <w:multiLevelType w:val="multilevel"/>
    <w:tmpl w:val="8F34533A"/>
    <w:lvl w:ilvl="0">
      <w:start w:val="1"/>
      <w:numFmt w:val="decimal"/>
      <w:lvlText w:val="%1."/>
      <w:lvlJc w:val="left"/>
      <w:pPr>
        <w:ind w:left="36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F7A6B76"/>
    <w:multiLevelType w:val="multilevel"/>
    <w:tmpl w:val="A86250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CF"/>
    <w:rsid w:val="00761582"/>
    <w:rsid w:val="008F5DCF"/>
    <w:rsid w:val="00F2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8B5A1-A7D6-412A-A932-1782DDED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ho.org/permis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j.foodchem.2013.12.0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39/c9tx0023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4Z12/vnHADM1R+tKerNXdtWM2w==">AMUW2mUVQTXsCKF2kt6EO2aIFNjt35EEUi27L2aErPXrYWAsigPIqQT/1aLiDWyde6GWiG4tXzhoUSXOBGr+poAZiiPyKs2Odh3Z9wsANbIhYcn8BdkBAN0Ox/LX2lkxK0x/Ia9VSagj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6128</Characters>
  <Application>Microsoft Office Word</Application>
  <DocSecurity>0</DocSecurity>
  <Lines>51</Lines>
  <Paragraphs>14</Paragraphs>
  <ScaleCrop>false</ScaleCrop>
  <Company>HP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Ardila, Paula</dc:creator>
  <cp:lastModifiedBy>SUSANA</cp:lastModifiedBy>
  <cp:revision>2</cp:revision>
  <dcterms:created xsi:type="dcterms:W3CDTF">2022-02-27T22:12:00Z</dcterms:created>
  <dcterms:modified xsi:type="dcterms:W3CDTF">2022-03-09T12:38:00Z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a5ce91f3-ea16-3e76-9a95-fb9303b6318e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