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6198" w:rsidRDefault="00102539">
      <w:pPr>
        <w:spacing w:after="0" w:line="240" w:lineRule="auto"/>
        <w:jc w:val="cente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Radiografía Milo 100g</w:t>
      </w:r>
    </w:p>
    <w:p w14:paraId="00000002" w14:textId="77777777" w:rsidR="00826198" w:rsidRDefault="00102539">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Tamaño de la porción: 25 g (2 cucharadas)</w:t>
      </w:r>
    </w:p>
    <w:p w14:paraId="00000003" w14:textId="77777777" w:rsidR="00826198" w:rsidRDefault="00102539">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Kilocalorías (Kcal): 100 por porción</w:t>
      </w:r>
    </w:p>
    <w:p w14:paraId="00000004" w14:textId="77777777" w:rsidR="00826198" w:rsidRDefault="00102539">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Número de porciones por envase: 4 porciones</w:t>
      </w:r>
    </w:p>
    <w:p w14:paraId="00000005" w14:textId="77777777" w:rsidR="00826198" w:rsidRDefault="00826198">
      <w:pPr>
        <w:spacing w:after="0" w:line="240" w:lineRule="auto"/>
        <w:ind w:left="1700" w:right="1659"/>
        <w:jc w:val="center"/>
        <w:rPr>
          <w:rFonts w:ascii="Verdana" w:eastAsia="Verdana" w:hAnsi="Verdana" w:cs="Verdana"/>
          <w:sz w:val="20"/>
          <w:szCs w:val="20"/>
        </w:rPr>
      </w:pPr>
    </w:p>
    <w:p w14:paraId="0000000C" w14:textId="24BF03D3" w:rsidR="00826198" w:rsidRDefault="00102539">
      <w:pPr>
        <w:spacing w:line="240" w:lineRule="auto"/>
        <w:jc w:val="both"/>
        <w:rPr>
          <w:rFonts w:ascii="Verdana" w:eastAsia="Verdana" w:hAnsi="Verdana" w:cs="Verdana"/>
          <w:sz w:val="20"/>
          <w:szCs w:val="20"/>
          <w:highlight w:val="white"/>
        </w:rPr>
      </w:pPr>
      <w:bookmarkStart w:id="1" w:name="_GoBack"/>
      <w:bookmarkEnd w:id="1"/>
      <w:r>
        <w:rPr>
          <w:rFonts w:ascii="Verdana" w:eastAsia="Verdana" w:hAnsi="Verdana" w:cs="Verdana"/>
          <w:b/>
          <w:sz w:val="20"/>
          <w:szCs w:val="20"/>
          <w:highlight w:val="white"/>
        </w:rPr>
        <w:t xml:space="preserve">Según la Organización Panamericana de la Salud, estos son los sellos de advertencia que tendría este producto: EXCESO DE AZÚCARES. </w:t>
      </w:r>
      <w:r>
        <w:rPr>
          <w:rFonts w:ascii="Verdana" w:eastAsia="Verdana" w:hAnsi="Verdana" w:cs="Verdana"/>
          <w:sz w:val="20"/>
          <w:szCs w:val="20"/>
          <w:highlight w:val="white"/>
        </w:rPr>
        <w:t xml:space="preserve">(1). </w:t>
      </w:r>
    </w:p>
    <w:p w14:paraId="0000000D" w14:textId="77777777" w:rsidR="00826198" w:rsidRDefault="00826198">
      <w:pPr>
        <w:pBdr>
          <w:top w:val="nil"/>
          <w:left w:val="nil"/>
          <w:bottom w:val="nil"/>
          <w:right w:val="nil"/>
          <w:between w:val="nil"/>
        </w:pBdr>
        <w:spacing w:line="240" w:lineRule="auto"/>
        <w:jc w:val="both"/>
        <w:rPr>
          <w:rFonts w:ascii="Verdana" w:eastAsia="Verdana" w:hAnsi="Verdana" w:cs="Verdana"/>
          <w:b/>
          <w:sz w:val="20"/>
          <w:szCs w:val="20"/>
        </w:rPr>
      </w:pPr>
    </w:p>
    <w:p w14:paraId="0000000E" w14:textId="77777777" w:rsidR="00826198" w:rsidRDefault="00102539">
      <w:pPr>
        <w:pBdr>
          <w:top w:val="nil"/>
          <w:left w:val="nil"/>
          <w:bottom w:val="nil"/>
          <w:right w:val="nil"/>
          <w:between w:val="nil"/>
        </w:pBdr>
        <w:spacing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w:t>
      </w:r>
      <w:r>
        <w:rPr>
          <w:rFonts w:ascii="Verdana" w:eastAsia="Verdana" w:hAnsi="Verdana" w:cs="Verdana"/>
          <w:b/>
          <w:color w:val="000000"/>
          <w:sz w:val="20"/>
          <w:szCs w:val="20"/>
        </w:rPr>
        <w:t xml:space="preserve"> </w:t>
      </w:r>
      <w:r>
        <w:rPr>
          <w:rFonts w:ascii="Verdana" w:eastAsia="Verdana" w:hAnsi="Verdana" w:cs="Verdana"/>
          <w:color w:val="000000"/>
          <w:sz w:val="20"/>
          <w:szCs w:val="20"/>
        </w:rPr>
        <w:t>Alimento enlatado o listo para preparar - Bebidas en polvo</w:t>
      </w:r>
    </w:p>
    <w:p w14:paraId="0000000F" w14:textId="77777777" w:rsidR="00826198" w:rsidRDefault="00102539">
      <w:pPr>
        <w:spacing w:line="240" w:lineRule="auto"/>
        <w:jc w:val="both"/>
        <w:rPr>
          <w:rFonts w:ascii="Verdana" w:eastAsia="Verdana" w:hAnsi="Verdana" w:cs="Verdana"/>
          <w:b/>
          <w:sz w:val="20"/>
          <w:szCs w:val="20"/>
          <w:highlight w:val="white"/>
        </w:rPr>
      </w:pPr>
      <w:r>
        <w:rPr>
          <w:rFonts w:ascii="Verdana" w:eastAsia="Verdana" w:hAnsi="Verdana" w:cs="Verdana"/>
          <w:b/>
          <w:sz w:val="20"/>
          <w:szCs w:val="20"/>
        </w:rPr>
        <w:t>Análisis general del producto:</w:t>
      </w:r>
      <w:r>
        <w:rPr>
          <w:rFonts w:ascii="Verdana" w:eastAsia="Verdana" w:hAnsi="Verdana" w:cs="Verdana"/>
          <w:sz w:val="20"/>
          <w:szCs w:val="20"/>
        </w:rPr>
        <w:t xml:space="preserve"> </w:t>
      </w:r>
      <w:r>
        <w:rPr>
          <w:rFonts w:ascii="Verdana" w:eastAsia="Verdana" w:hAnsi="Verdana" w:cs="Verdana"/>
          <w:sz w:val="20"/>
          <w:szCs w:val="20"/>
          <w:highlight w:val="white"/>
        </w:rPr>
        <w:t xml:space="preserve">Este producto contiene 10 ingredientes, </w:t>
      </w:r>
      <w:r w:rsidRPr="00E54A8F">
        <w:rPr>
          <w:rFonts w:ascii="Verdana" w:eastAsia="Verdana" w:hAnsi="Verdana" w:cs="Verdana"/>
          <w:sz w:val="20"/>
          <w:szCs w:val="20"/>
          <w:highlight w:val="white"/>
        </w:rPr>
        <w:t>2</w:t>
      </w:r>
      <w:r>
        <w:rPr>
          <w:rFonts w:ascii="Verdana" w:eastAsia="Verdana" w:hAnsi="Verdana" w:cs="Verdana"/>
          <w:sz w:val="20"/>
          <w:szCs w:val="20"/>
          <w:highlight w:val="white"/>
        </w:rPr>
        <w:t xml:space="preserve"> de ellos aditivos. Algunos aditivos usados en producción industrial de alimentos podrían afectar la salud (2)(3). Según los criterios de la Organización Panamericana de la Salud (OPS) (1) este producto excede la cantidad recomendada de consumo de azúcar. El consumo de productos que contienen exceso de estos nutrientes, se relaciona con mayor riesgo de sufrir obesidad y enfermedades crónicas como diabetes, hipertensión, enfermedades cardiovasculares, entre otras (4).</w:t>
      </w:r>
    </w:p>
    <w:p w14:paraId="00000010" w14:textId="77777777" w:rsidR="00826198" w:rsidRDefault="00102539">
      <w:pPr>
        <w:pBdr>
          <w:top w:val="nil"/>
          <w:left w:val="nil"/>
          <w:bottom w:val="nil"/>
          <w:right w:val="nil"/>
          <w:between w:val="nil"/>
        </w:pBdr>
        <w:spacing w:after="0" w:line="240" w:lineRule="auto"/>
        <w:jc w:val="both"/>
        <w:rPr>
          <w:rFonts w:ascii="Verdana" w:eastAsia="Verdana" w:hAnsi="Verdana" w:cs="Verdana"/>
          <w:b/>
          <w:sz w:val="20"/>
          <w:szCs w:val="20"/>
          <w:highlight w:val="white"/>
        </w:rPr>
      </w:pPr>
      <w:r>
        <w:rPr>
          <w:rFonts w:ascii="Verdana" w:eastAsia="Verdana" w:hAnsi="Verdana" w:cs="Verdana"/>
          <w:b/>
          <w:color w:val="000000"/>
          <w:sz w:val="20"/>
          <w:szCs w:val="20"/>
          <w:highlight w:val="white"/>
        </w:rPr>
        <w:t>Ingredientes: (1</w:t>
      </w:r>
      <w:r>
        <w:rPr>
          <w:rFonts w:ascii="Verdana" w:eastAsia="Verdana" w:hAnsi="Verdana" w:cs="Verdana"/>
          <w:b/>
          <w:sz w:val="20"/>
          <w:szCs w:val="20"/>
          <w:highlight w:val="white"/>
        </w:rPr>
        <w:t>0</w:t>
      </w:r>
      <w:r>
        <w:rPr>
          <w:rFonts w:ascii="Verdana" w:eastAsia="Verdana" w:hAnsi="Verdana" w:cs="Verdana"/>
          <w:b/>
          <w:color w:val="000000"/>
          <w:sz w:val="20"/>
          <w:szCs w:val="20"/>
          <w:highlight w:val="white"/>
        </w:rPr>
        <w:t xml:space="preserve"> </w:t>
      </w:r>
      <w:r>
        <w:rPr>
          <w:rFonts w:ascii="Verdana" w:eastAsia="Verdana" w:hAnsi="Verdana" w:cs="Verdana"/>
          <w:b/>
          <w:sz w:val="20"/>
          <w:szCs w:val="20"/>
          <w:highlight w:val="white"/>
        </w:rPr>
        <w:t xml:space="preserve">ingredientes) </w:t>
      </w:r>
    </w:p>
    <w:p w14:paraId="00000011" w14:textId="77777777" w:rsidR="00826198" w:rsidRDefault="00826198">
      <w:pPr>
        <w:pBdr>
          <w:top w:val="nil"/>
          <w:left w:val="nil"/>
          <w:bottom w:val="nil"/>
          <w:right w:val="nil"/>
          <w:between w:val="nil"/>
        </w:pBdr>
        <w:spacing w:after="0" w:line="240" w:lineRule="auto"/>
        <w:jc w:val="both"/>
        <w:rPr>
          <w:rFonts w:ascii="Verdana" w:eastAsia="Verdana" w:hAnsi="Verdana" w:cs="Verdana"/>
          <w:b/>
          <w:sz w:val="20"/>
          <w:szCs w:val="20"/>
          <w:highlight w:val="white"/>
        </w:rPr>
      </w:pPr>
    </w:p>
    <w:p w14:paraId="00000012"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Ext</w:t>
      </w:r>
      <w:r>
        <w:rPr>
          <w:rFonts w:ascii="Verdana" w:eastAsia="Verdana" w:hAnsi="Verdana" w:cs="Verdana"/>
          <w:color w:val="000000"/>
          <w:sz w:val="20"/>
          <w:szCs w:val="20"/>
          <w:highlight w:val="white"/>
        </w:rPr>
        <w:t>racto de malta (</w:t>
      </w:r>
      <w:r>
        <w:rPr>
          <w:rFonts w:ascii="Verdana" w:eastAsia="Verdana" w:hAnsi="Verdana" w:cs="Verdana"/>
          <w:sz w:val="20"/>
          <w:szCs w:val="20"/>
          <w:highlight w:val="white"/>
        </w:rPr>
        <w:t>cebada)</w:t>
      </w:r>
    </w:p>
    <w:p w14:paraId="00000013"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Leche entera (Sólidos lácteos)</w:t>
      </w:r>
    </w:p>
    <w:p w14:paraId="00000014"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Leche descremada (Sólidos lácteos)</w:t>
      </w:r>
    </w:p>
    <w:p w14:paraId="00000015"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Suero de leche (Sólidos lácteos)</w:t>
      </w:r>
    </w:p>
    <w:p w14:paraId="00000016"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Azúcar </w:t>
      </w:r>
    </w:p>
    <w:p w14:paraId="00000017"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C</w:t>
      </w:r>
      <w:r>
        <w:rPr>
          <w:rFonts w:ascii="Verdana" w:eastAsia="Verdana" w:hAnsi="Verdana" w:cs="Verdana"/>
          <w:color w:val="000000"/>
          <w:sz w:val="20"/>
          <w:szCs w:val="20"/>
          <w:highlight w:val="white"/>
        </w:rPr>
        <w:t>ocoa en polvo</w:t>
      </w:r>
    </w:p>
    <w:p w14:paraId="00000018" w14:textId="77777777" w:rsidR="00826198"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Vitaminas (C, D, B2, Niacina, B6 y B12)</w:t>
      </w:r>
    </w:p>
    <w:p w14:paraId="00000019" w14:textId="77777777" w:rsidR="00826198" w:rsidRPr="00E54A8F"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Minerales (F</w:t>
      </w:r>
      <w:r w:rsidRPr="00E54A8F">
        <w:rPr>
          <w:rFonts w:ascii="Verdana" w:eastAsia="Verdana" w:hAnsi="Verdana" w:cs="Verdana"/>
          <w:sz w:val="20"/>
          <w:szCs w:val="20"/>
          <w:highlight w:val="white"/>
        </w:rPr>
        <w:t xml:space="preserve">osfato de </w:t>
      </w:r>
      <w:r>
        <w:rPr>
          <w:rFonts w:ascii="Verdana" w:eastAsia="Verdana" w:hAnsi="Verdana" w:cs="Verdana"/>
          <w:sz w:val="20"/>
          <w:szCs w:val="20"/>
          <w:highlight w:val="white"/>
        </w:rPr>
        <w:t>C</w:t>
      </w:r>
      <w:r w:rsidRPr="00E54A8F">
        <w:rPr>
          <w:rFonts w:ascii="Verdana" w:eastAsia="Verdana" w:hAnsi="Verdana" w:cs="Verdana"/>
          <w:sz w:val="20"/>
          <w:szCs w:val="20"/>
          <w:highlight w:val="white"/>
        </w:rPr>
        <w:t xml:space="preserve">alcio </w:t>
      </w:r>
      <w:r>
        <w:rPr>
          <w:rFonts w:ascii="Verdana" w:eastAsia="Verdana" w:hAnsi="Verdana" w:cs="Verdana"/>
          <w:sz w:val="20"/>
          <w:szCs w:val="20"/>
          <w:highlight w:val="white"/>
        </w:rPr>
        <w:t>D</w:t>
      </w:r>
      <w:r w:rsidRPr="00E54A8F">
        <w:rPr>
          <w:rFonts w:ascii="Verdana" w:eastAsia="Verdana" w:hAnsi="Verdana" w:cs="Verdana"/>
          <w:sz w:val="20"/>
          <w:szCs w:val="20"/>
          <w:highlight w:val="white"/>
        </w:rPr>
        <w:t>ibásico</w:t>
      </w:r>
      <w:r>
        <w:rPr>
          <w:rFonts w:ascii="Verdana" w:eastAsia="Verdana" w:hAnsi="Verdana" w:cs="Verdana"/>
          <w:sz w:val="20"/>
          <w:szCs w:val="20"/>
          <w:highlight w:val="white"/>
        </w:rPr>
        <w:t>, C</w:t>
      </w:r>
      <w:r w:rsidRPr="00E54A8F">
        <w:rPr>
          <w:rFonts w:ascii="Verdana" w:eastAsia="Verdana" w:hAnsi="Verdana" w:cs="Verdana"/>
          <w:sz w:val="20"/>
          <w:szCs w:val="20"/>
          <w:highlight w:val="white"/>
        </w:rPr>
        <w:t>loruro de sodio</w:t>
      </w:r>
      <w:r>
        <w:rPr>
          <w:rFonts w:ascii="Verdana" w:eastAsia="Verdana" w:hAnsi="Verdana" w:cs="Verdana"/>
          <w:sz w:val="20"/>
          <w:szCs w:val="20"/>
          <w:highlight w:val="white"/>
        </w:rPr>
        <w:t>, P</w:t>
      </w:r>
      <w:r w:rsidRPr="00E54A8F">
        <w:rPr>
          <w:rFonts w:ascii="Verdana" w:eastAsia="Verdana" w:hAnsi="Verdana" w:cs="Verdana"/>
          <w:sz w:val="20"/>
          <w:szCs w:val="20"/>
          <w:highlight w:val="white"/>
        </w:rPr>
        <w:t>irofosfato de hierro)</w:t>
      </w:r>
    </w:p>
    <w:p w14:paraId="0000001A" w14:textId="77777777" w:rsidR="00826198" w:rsidRPr="00E54A8F"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sidRPr="00E54A8F">
        <w:rPr>
          <w:rFonts w:ascii="Verdana" w:eastAsia="Verdana" w:hAnsi="Verdana" w:cs="Verdana"/>
          <w:sz w:val="20"/>
          <w:szCs w:val="20"/>
          <w:highlight w:val="white"/>
        </w:rPr>
        <w:t>Lecitina de soya (Emulsificante)</w:t>
      </w:r>
    </w:p>
    <w:p w14:paraId="0000001B" w14:textId="77777777" w:rsidR="00826198" w:rsidRPr="00E54A8F" w:rsidRDefault="00102539">
      <w:pPr>
        <w:numPr>
          <w:ilvl w:val="0"/>
          <w:numId w:val="3"/>
        </w:numPr>
        <w:pBdr>
          <w:top w:val="nil"/>
          <w:left w:val="nil"/>
          <w:bottom w:val="nil"/>
          <w:right w:val="nil"/>
          <w:between w:val="nil"/>
        </w:pBdr>
        <w:spacing w:after="0" w:line="240" w:lineRule="auto"/>
        <w:jc w:val="both"/>
        <w:rPr>
          <w:rFonts w:ascii="Verdana" w:eastAsia="Verdana" w:hAnsi="Verdana" w:cs="Verdana"/>
          <w:sz w:val="20"/>
          <w:szCs w:val="20"/>
          <w:highlight w:val="white"/>
        </w:rPr>
      </w:pPr>
      <w:r w:rsidRPr="00E54A8F">
        <w:rPr>
          <w:rFonts w:ascii="Verdana" w:eastAsia="Verdana" w:hAnsi="Verdana" w:cs="Verdana"/>
          <w:sz w:val="20"/>
          <w:szCs w:val="20"/>
          <w:highlight w:val="white"/>
        </w:rPr>
        <w:t>Aroma natural</w:t>
      </w:r>
    </w:p>
    <w:p w14:paraId="0000001C" w14:textId="77777777" w:rsidR="00826198" w:rsidRDefault="00826198" w:rsidP="00E54A8F">
      <w:pPr>
        <w:pBdr>
          <w:top w:val="nil"/>
          <w:left w:val="nil"/>
          <w:bottom w:val="nil"/>
          <w:right w:val="nil"/>
          <w:between w:val="nil"/>
        </w:pBdr>
        <w:spacing w:after="0" w:line="240" w:lineRule="auto"/>
        <w:ind w:left="720"/>
        <w:jc w:val="both"/>
        <w:rPr>
          <w:rFonts w:ascii="Verdana" w:eastAsia="Verdana" w:hAnsi="Verdana" w:cs="Verdana"/>
          <w:sz w:val="20"/>
          <w:szCs w:val="20"/>
          <w:highlight w:val="white"/>
        </w:rPr>
      </w:pPr>
    </w:p>
    <w:p w14:paraId="0000001D" w14:textId="77777777" w:rsidR="00826198" w:rsidRDefault="00102539">
      <w:pPr>
        <w:tabs>
          <w:tab w:val="left" w:pos="284"/>
        </w:tabs>
        <w:spacing w:after="0" w:line="240" w:lineRule="auto"/>
        <w:jc w:val="both"/>
        <w:rPr>
          <w:rFonts w:ascii="Verdana" w:eastAsia="Verdana" w:hAnsi="Verdana" w:cs="Verdana"/>
          <w:b/>
          <w:sz w:val="20"/>
          <w:szCs w:val="20"/>
        </w:rPr>
      </w:pPr>
      <w:r>
        <w:rPr>
          <w:rFonts w:ascii="Verdana" w:eastAsia="Verdana" w:hAnsi="Verdana" w:cs="Verdana"/>
          <w:b/>
          <w:sz w:val="20"/>
          <w:szCs w:val="20"/>
        </w:rPr>
        <w:t>Otros ingredientes declarados en etiqueta:</w:t>
      </w:r>
    </w:p>
    <w:p w14:paraId="0000001E" w14:textId="77777777" w:rsidR="00826198" w:rsidRDefault="00826198">
      <w:pPr>
        <w:tabs>
          <w:tab w:val="left" w:pos="284"/>
        </w:tabs>
        <w:spacing w:after="0" w:line="240" w:lineRule="auto"/>
        <w:jc w:val="both"/>
        <w:rPr>
          <w:rFonts w:ascii="Verdana" w:eastAsia="Verdana" w:hAnsi="Verdana" w:cs="Verdana"/>
          <w:b/>
          <w:sz w:val="20"/>
          <w:szCs w:val="20"/>
        </w:rPr>
      </w:pPr>
    </w:p>
    <w:p w14:paraId="0000001F" w14:textId="77777777" w:rsidR="00826198" w:rsidRDefault="00102539">
      <w:pPr>
        <w:numPr>
          <w:ilvl w:val="0"/>
          <w:numId w:val="5"/>
        </w:numP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Gluten</w:t>
      </w:r>
    </w:p>
    <w:p w14:paraId="00000020" w14:textId="77777777" w:rsidR="00826198" w:rsidRDefault="00102539">
      <w:pPr>
        <w:numPr>
          <w:ilvl w:val="0"/>
          <w:numId w:val="5"/>
        </w:numP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Derivados de soya</w:t>
      </w:r>
    </w:p>
    <w:p w14:paraId="00000021" w14:textId="77777777" w:rsidR="00826198" w:rsidRDefault="00826198">
      <w:pPr>
        <w:pBdr>
          <w:top w:val="nil"/>
          <w:left w:val="nil"/>
          <w:bottom w:val="nil"/>
          <w:right w:val="nil"/>
          <w:between w:val="nil"/>
        </w:pBdr>
        <w:spacing w:after="0" w:line="240" w:lineRule="auto"/>
        <w:jc w:val="both"/>
        <w:rPr>
          <w:rFonts w:ascii="Verdana" w:eastAsia="Verdana" w:hAnsi="Verdana" w:cs="Verdana"/>
          <w:sz w:val="20"/>
          <w:szCs w:val="20"/>
          <w:highlight w:val="white"/>
        </w:rPr>
      </w:pPr>
    </w:p>
    <w:p w14:paraId="00000022" w14:textId="77777777" w:rsidR="00826198" w:rsidRDefault="00102539">
      <w:pPr>
        <w:pBdr>
          <w:top w:val="nil"/>
          <w:left w:val="nil"/>
          <w:bottom w:val="nil"/>
          <w:right w:val="nil"/>
          <w:between w:val="nil"/>
        </w:pBdr>
        <w:spacing w:after="0" w:line="240"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Nutrientes críticos en Milo: </w:t>
      </w:r>
    </w:p>
    <w:p w14:paraId="00000023" w14:textId="77777777" w:rsidR="00826198" w:rsidRDefault="00826198">
      <w:pPr>
        <w:pBdr>
          <w:top w:val="nil"/>
          <w:left w:val="nil"/>
          <w:bottom w:val="nil"/>
          <w:right w:val="nil"/>
          <w:between w:val="nil"/>
        </w:pBdr>
        <w:spacing w:after="0" w:line="240" w:lineRule="auto"/>
        <w:jc w:val="both"/>
        <w:rPr>
          <w:rFonts w:ascii="Verdana" w:eastAsia="Verdana" w:hAnsi="Verdana" w:cs="Verdana"/>
          <w:b/>
          <w:sz w:val="20"/>
          <w:szCs w:val="20"/>
          <w:highlight w:val="white"/>
        </w:rPr>
      </w:pPr>
    </w:p>
    <w:p w14:paraId="00000024" w14:textId="77777777" w:rsidR="00826198" w:rsidRDefault="00102539">
      <w:pPr>
        <w:spacing w:after="0" w:line="240" w:lineRule="auto"/>
        <w:jc w:val="both"/>
        <w:rPr>
          <w:rFonts w:ascii="Verdana" w:eastAsia="Verdana" w:hAnsi="Verdana" w:cs="Verdana"/>
          <w:b/>
          <w:sz w:val="20"/>
          <w:szCs w:val="20"/>
          <w:highlight w:val="white"/>
        </w:rPr>
      </w:pPr>
      <w:r>
        <w:rPr>
          <w:rFonts w:ascii="Verdana" w:eastAsia="Verdana" w:hAnsi="Verdana" w:cs="Verdana"/>
          <w:sz w:val="20"/>
          <w:szCs w:val="20"/>
        </w:rPr>
        <w:t>Cada porción de 25 gramos (2 cucharadas) aportan un total de 100 Calorías.</w:t>
      </w:r>
    </w:p>
    <w:p w14:paraId="00000025" w14:textId="77777777" w:rsidR="00826198" w:rsidRDefault="00826198">
      <w:pPr>
        <w:pBdr>
          <w:top w:val="nil"/>
          <w:left w:val="nil"/>
          <w:bottom w:val="nil"/>
          <w:right w:val="nil"/>
          <w:between w:val="nil"/>
        </w:pBdr>
        <w:spacing w:after="0" w:line="240" w:lineRule="auto"/>
        <w:ind w:left="284"/>
        <w:jc w:val="both"/>
        <w:rPr>
          <w:rFonts w:ascii="Verdana" w:eastAsia="Verdana" w:hAnsi="Verdana" w:cs="Verdana"/>
          <w:b/>
          <w:sz w:val="20"/>
          <w:szCs w:val="20"/>
          <w:highlight w:val="white"/>
        </w:rPr>
      </w:pPr>
    </w:p>
    <w:p w14:paraId="00000026" w14:textId="51616288" w:rsidR="00826198" w:rsidRDefault="00102539">
      <w:pPr>
        <w:numPr>
          <w:ilvl w:val="0"/>
          <w:numId w:val="6"/>
        </w:numPr>
        <w:spacing w:after="0"/>
        <w:ind w:left="709"/>
        <w:jc w:val="both"/>
        <w:rPr>
          <w:sz w:val="20"/>
          <w:szCs w:val="20"/>
        </w:rPr>
      </w:pPr>
      <w:r>
        <w:rPr>
          <w:rFonts w:ascii="Verdana" w:eastAsia="Verdana" w:hAnsi="Verdana" w:cs="Verdana"/>
          <w:i/>
          <w:sz w:val="20"/>
          <w:szCs w:val="20"/>
          <w:u w:val="single"/>
        </w:rPr>
        <w:t>Azúcares</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Según los criterios de la Organización Panamericana de la Salud (OPS), este producto excede en </w:t>
      </w:r>
      <w:r w:rsidR="008D772E">
        <w:rPr>
          <w:rFonts w:ascii="Verdana" w:eastAsia="Verdana" w:hAnsi="Verdana" w:cs="Verdana"/>
          <w:sz w:val="20"/>
          <w:szCs w:val="20"/>
        </w:rPr>
        <w:t xml:space="preserve">casi 5 veces </w:t>
      </w:r>
      <w:r>
        <w:rPr>
          <w:rFonts w:ascii="Verdana" w:eastAsia="Verdana" w:hAnsi="Verdana" w:cs="Verdana"/>
          <w:sz w:val="20"/>
          <w:szCs w:val="20"/>
        </w:rPr>
        <w:t>la cantidad recomendada de azúcares, el 48% de las calorías totales del producto. De</w:t>
      </w:r>
      <w:r w:rsidR="00E54A8F">
        <w:rPr>
          <w:rFonts w:ascii="Verdana" w:eastAsia="Verdana" w:hAnsi="Verdana" w:cs="Verdana"/>
          <w:sz w:val="20"/>
          <w:szCs w:val="20"/>
        </w:rPr>
        <w:t xml:space="preserve"> las 100 </w:t>
      </w:r>
      <w:r>
        <w:rPr>
          <w:rFonts w:ascii="Verdana" w:eastAsia="Verdana" w:hAnsi="Verdana" w:cs="Verdana"/>
          <w:sz w:val="20"/>
          <w:szCs w:val="20"/>
        </w:rPr>
        <w:t>calorías</w:t>
      </w:r>
      <w:r w:rsidR="00E54A8F">
        <w:rPr>
          <w:rFonts w:ascii="Verdana" w:eastAsia="Verdana" w:hAnsi="Verdana" w:cs="Verdana"/>
          <w:sz w:val="20"/>
          <w:szCs w:val="20"/>
        </w:rPr>
        <w:t xml:space="preserve"> totales</w:t>
      </w:r>
      <w:r>
        <w:rPr>
          <w:rFonts w:ascii="Verdana" w:eastAsia="Verdana" w:hAnsi="Verdana" w:cs="Verdana"/>
          <w:sz w:val="20"/>
          <w:szCs w:val="20"/>
        </w:rPr>
        <w:t xml:space="preserve"> del producto, 48 calorías provienen de los 12 gramos de azúcares. </w:t>
      </w:r>
    </w:p>
    <w:p w14:paraId="00000027" w14:textId="77777777" w:rsidR="00826198" w:rsidRDefault="00826198">
      <w:pPr>
        <w:pBdr>
          <w:top w:val="nil"/>
          <w:left w:val="nil"/>
          <w:bottom w:val="nil"/>
          <w:right w:val="nil"/>
          <w:between w:val="nil"/>
        </w:pBdr>
        <w:spacing w:after="0" w:line="240" w:lineRule="auto"/>
        <w:rPr>
          <w:rFonts w:ascii="Verdana" w:eastAsia="Verdana" w:hAnsi="Verdana" w:cs="Verdana"/>
          <w:color w:val="000000"/>
          <w:sz w:val="20"/>
          <w:szCs w:val="20"/>
          <w:highlight w:val="white"/>
        </w:rPr>
      </w:pPr>
    </w:p>
    <w:p w14:paraId="00000028" w14:textId="77777777" w:rsidR="00826198" w:rsidRDefault="00102539">
      <w:pPr>
        <w:pBdr>
          <w:top w:val="nil"/>
          <w:left w:val="nil"/>
          <w:bottom w:val="nil"/>
          <w:right w:val="nil"/>
          <w:between w:val="nil"/>
        </w:pBdr>
        <w:spacing w:after="0" w:line="240"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Aditivos que contiene este producto:</w:t>
      </w:r>
    </w:p>
    <w:p w14:paraId="00000029" w14:textId="77777777" w:rsidR="00826198" w:rsidRDefault="00826198">
      <w:pPr>
        <w:pBdr>
          <w:top w:val="nil"/>
          <w:left w:val="nil"/>
          <w:bottom w:val="nil"/>
          <w:right w:val="nil"/>
          <w:between w:val="nil"/>
        </w:pBdr>
        <w:spacing w:after="0" w:line="240" w:lineRule="auto"/>
        <w:jc w:val="both"/>
        <w:rPr>
          <w:rFonts w:ascii="Verdana" w:eastAsia="Verdana" w:hAnsi="Verdana" w:cs="Verdana"/>
          <w:b/>
          <w:sz w:val="20"/>
          <w:szCs w:val="20"/>
          <w:highlight w:val="white"/>
        </w:rPr>
      </w:pPr>
    </w:p>
    <w:p w14:paraId="0000002A" w14:textId="62C38847" w:rsidR="00826198" w:rsidRDefault="00102539">
      <w:pPr>
        <w:numPr>
          <w:ilvl w:val="0"/>
          <w:numId w:val="4"/>
        </w:numP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Lecitina de soja (E-322): Es uno de los aditivos con altos contenidos de glutamato monosódico, razón por la cual actúa como mejorador de sabor. De tal forma, que sus efectos nocivos se atribuyen a éste último, </w:t>
      </w:r>
      <w:r w:rsidR="00ED54F3" w:rsidRPr="005465E1">
        <w:rPr>
          <w:rFonts w:ascii="Verdana" w:hAnsi="Verdana" w:cs="Arial"/>
          <w:sz w:val="20"/>
          <w:szCs w:val="20"/>
        </w:rPr>
        <w:t xml:space="preserve">obesidad, diabetes, </w:t>
      </w:r>
      <w:r w:rsidR="00ED54F3">
        <w:rPr>
          <w:rFonts w:ascii="Verdana" w:hAnsi="Verdana" w:cs="Arial"/>
          <w:sz w:val="20"/>
          <w:szCs w:val="20"/>
        </w:rPr>
        <w:t>afectación al hígado (</w:t>
      </w:r>
      <w:r w:rsidR="00ED54F3" w:rsidRPr="005465E1">
        <w:rPr>
          <w:rFonts w:ascii="Verdana" w:hAnsi="Verdana" w:cs="Arial"/>
          <w:sz w:val="20"/>
          <w:szCs w:val="20"/>
        </w:rPr>
        <w:t>hepatotoxicidad</w:t>
      </w:r>
      <w:r w:rsidR="00ED54F3">
        <w:rPr>
          <w:rFonts w:ascii="Verdana" w:hAnsi="Verdana" w:cs="Arial"/>
          <w:sz w:val="20"/>
          <w:szCs w:val="20"/>
        </w:rPr>
        <w:t>)</w:t>
      </w:r>
      <w:r w:rsidR="00ED54F3" w:rsidRPr="005465E1">
        <w:rPr>
          <w:rFonts w:ascii="Verdana" w:hAnsi="Verdana" w:cs="Arial"/>
          <w:sz w:val="20"/>
          <w:szCs w:val="20"/>
        </w:rPr>
        <w:t xml:space="preserve">, y efectos </w:t>
      </w:r>
      <w:r w:rsidR="00ED54F3">
        <w:rPr>
          <w:rFonts w:ascii="Verdana" w:hAnsi="Verdana" w:cs="Arial"/>
          <w:sz w:val="20"/>
          <w:szCs w:val="20"/>
        </w:rPr>
        <w:t xml:space="preserve">nocivos sobre el sistema nervios (efectos </w:t>
      </w:r>
      <w:r w:rsidR="00ED54F3" w:rsidRPr="005465E1">
        <w:rPr>
          <w:rFonts w:ascii="Verdana" w:hAnsi="Verdana" w:cs="Arial"/>
          <w:sz w:val="20"/>
          <w:szCs w:val="20"/>
        </w:rPr>
        <w:t>neurotóxicos</w:t>
      </w:r>
      <w:r w:rsidR="00ED54F3">
        <w:rPr>
          <w:rFonts w:ascii="Verdana" w:hAnsi="Verdana" w:cs="Arial"/>
          <w:sz w:val="20"/>
          <w:szCs w:val="20"/>
        </w:rPr>
        <w:t xml:space="preserve">), afectación del ADN (efectos </w:t>
      </w:r>
      <w:proofErr w:type="gramStart"/>
      <w:r w:rsidR="00ED54F3" w:rsidRPr="005465E1">
        <w:rPr>
          <w:rFonts w:ascii="Verdana" w:hAnsi="Verdana" w:cs="Arial"/>
          <w:sz w:val="20"/>
          <w:szCs w:val="20"/>
        </w:rPr>
        <w:t>genotóxicos</w:t>
      </w:r>
      <w:r w:rsidR="00ED54F3">
        <w:rPr>
          <w:rFonts w:ascii="Verdana" w:hAnsi="Verdana" w:cs="Arial"/>
          <w:sz w:val="20"/>
          <w:szCs w:val="20"/>
        </w:rPr>
        <w:t>)(</w:t>
      </w:r>
      <w:proofErr w:type="gramEnd"/>
      <w:r w:rsidR="00ED54F3">
        <w:rPr>
          <w:rFonts w:ascii="Verdana" w:hAnsi="Verdana" w:cs="Arial"/>
          <w:sz w:val="20"/>
          <w:szCs w:val="20"/>
        </w:rPr>
        <w:t>5)</w:t>
      </w:r>
      <w:r w:rsidR="00D52DB0">
        <w:rPr>
          <w:rFonts w:ascii="Verdana" w:hAnsi="Verdana" w:cs="Arial"/>
          <w:sz w:val="20"/>
          <w:szCs w:val="20"/>
        </w:rPr>
        <w:t xml:space="preserve">, </w:t>
      </w:r>
      <w:r>
        <w:rPr>
          <w:rFonts w:ascii="Verdana" w:eastAsia="Verdana" w:hAnsi="Verdana" w:cs="Verdana"/>
          <w:sz w:val="20"/>
          <w:szCs w:val="20"/>
          <w:highlight w:val="white"/>
        </w:rPr>
        <w:t>mareos, eccema, pseudo adicción al producto, o</w:t>
      </w:r>
      <w:r w:rsidR="00ED54F3">
        <w:rPr>
          <w:rFonts w:ascii="Verdana" w:eastAsia="Verdana" w:hAnsi="Verdana" w:cs="Verdana"/>
          <w:sz w:val="20"/>
          <w:szCs w:val="20"/>
          <w:highlight w:val="white"/>
        </w:rPr>
        <w:t>besidad, entre otros (6</w:t>
      </w:r>
      <w:r>
        <w:rPr>
          <w:rFonts w:ascii="Verdana" w:eastAsia="Verdana" w:hAnsi="Verdana" w:cs="Verdana"/>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2B" w14:textId="083B7F90" w:rsidR="00826198" w:rsidRDefault="00102539">
      <w:pPr>
        <w:numPr>
          <w:ilvl w:val="0"/>
          <w:numId w:val="4"/>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Aroma natural: no indica el nombre del aditivo que se utiliza para tal fin, pero los más usados en la industria son el </w:t>
      </w:r>
      <w:proofErr w:type="spellStart"/>
      <w:r>
        <w:rPr>
          <w:rFonts w:ascii="Verdana" w:eastAsia="Verdana" w:hAnsi="Verdana" w:cs="Verdana"/>
          <w:sz w:val="20"/>
          <w:szCs w:val="20"/>
          <w:highlight w:val="white"/>
        </w:rPr>
        <w:t>diacetilo</w:t>
      </w:r>
      <w:proofErr w:type="spellEnd"/>
      <w:r>
        <w:rPr>
          <w:rFonts w:ascii="Verdana" w:eastAsia="Verdana" w:hAnsi="Verdana" w:cs="Verdana"/>
          <w:sz w:val="20"/>
          <w:szCs w:val="20"/>
          <w:highlight w:val="white"/>
        </w:rPr>
        <w:t xml:space="preserve"> y la </w:t>
      </w:r>
      <w:proofErr w:type="spellStart"/>
      <w:r>
        <w:rPr>
          <w:rFonts w:ascii="Verdana" w:eastAsia="Verdana" w:hAnsi="Verdana" w:cs="Verdana"/>
          <w:sz w:val="20"/>
          <w:szCs w:val="20"/>
          <w:highlight w:val="white"/>
        </w:rPr>
        <w:t>acetoína</w:t>
      </w:r>
      <w:proofErr w:type="spellEnd"/>
      <w:r>
        <w:rPr>
          <w:rFonts w:ascii="Verdana" w:eastAsia="Verdana" w:hAnsi="Verdana" w:cs="Verdana"/>
          <w:sz w:val="20"/>
          <w:szCs w:val="20"/>
          <w:highlight w:val="white"/>
        </w:rPr>
        <w:t>. En altas cantidades se ha encontrado que el diacetilo puede causar depresión del sistema nervioso central y se han observado casos de bronquiolitis obliterante en trabajadores de las empres</w:t>
      </w:r>
      <w:r w:rsidR="00ED54F3">
        <w:rPr>
          <w:rFonts w:ascii="Verdana" w:eastAsia="Verdana" w:hAnsi="Verdana" w:cs="Verdana"/>
          <w:sz w:val="20"/>
          <w:szCs w:val="20"/>
          <w:highlight w:val="white"/>
        </w:rPr>
        <w:t>as que usan este aromatizante (7</w:t>
      </w:r>
      <w:r>
        <w:rPr>
          <w:rFonts w:ascii="Verdana" w:eastAsia="Verdana" w:hAnsi="Verdana" w:cs="Verdana"/>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2C" w14:textId="77777777" w:rsidR="00826198" w:rsidRDefault="00826198">
      <w:pPr>
        <w:pBdr>
          <w:top w:val="nil"/>
          <w:left w:val="nil"/>
          <w:bottom w:val="nil"/>
          <w:right w:val="nil"/>
          <w:between w:val="nil"/>
        </w:pBdr>
        <w:spacing w:line="240" w:lineRule="auto"/>
        <w:ind w:left="709" w:hanging="283"/>
        <w:jc w:val="both"/>
        <w:rPr>
          <w:rFonts w:ascii="Verdana" w:eastAsia="Verdana" w:hAnsi="Verdana" w:cs="Verdana"/>
          <w:color w:val="000000"/>
          <w:sz w:val="20"/>
          <w:szCs w:val="20"/>
          <w:highlight w:val="white"/>
        </w:rPr>
      </w:pPr>
    </w:p>
    <w:p w14:paraId="0000002D" w14:textId="77777777" w:rsidR="00826198" w:rsidRDefault="00102539">
      <w:pPr>
        <w:spacing w:line="240" w:lineRule="auto"/>
        <w:jc w:val="both"/>
        <w:rPr>
          <w:rFonts w:ascii="Verdana" w:eastAsia="Verdana" w:hAnsi="Verdana" w:cs="Verdana"/>
          <w:sz w:val="20"/>
          <w:szCs w:val="20"/>
        </w:rPr>
      </w:pPr>
      <w:r>
        <w:rPr>
          <w:rFonts w:ascii="Verdana" w:eastAsia="Verdana" w:hAnsi="Verdana" w:cs="Verdana"/>
          <w:b/>
          <w:sz w:val="20"/>
          <w:szCs w:val="20"/>
          <w:highlight w:val="white"/>
        </w:rPr>
        <w:t xml:space="preserve">Recomendaciones finales: </w:t>
      </w:r>
      <w:r>
        <w:rPr>
          <w:rFonts w:ascii="Verdana" w:eastAsia="Verdana" w:hAnsi="Verdana" w:cs="Verdana"/>
          <w:sz w:val="20"/>
          <w:szCs w:val="20"/>
          <w:highlight w:val="white"/>
        </w:rPr>
        <w:t>Una buena alternativa a este producto es el uso de cocoa en polvo para la preparación de una bebida natural, sin adición de azúcar y con el rico sabor del cacao.</w:t>
      </w:r>
    </w:p>
    <w:p w14:paraId="0000002E" w14:textId="77777777" w:rsidR="00826198" w:rsidRDefault="00102539">
      <w:pPr>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2"/>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Tinoco⁴, Fabián Avellaneda⁴.</w:t>
      </w:r>
    </w:p>
    <w:p w14:paraId="00000030" w14:textId="0EF6CEC0" w:rsidR="00826198" w:rsidRDefault="00102539" w:rsidP="008D772E">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Revisó: </w:t>
      </w:r>
      <w:r w:rsidR="008D772E">
        <w:rPr>
          <w:rFonts w:ascii="Verdana" w:eastAsia="Verdana" w:hAnsi="Verdana" w:cs="Verdana"/>
          <w:sz w:val="20"/>
          <w:szCs w:val="20"/>
        </w:rPr>
        <w:t>ND Mercedes Mora Plazas, ND Rubén Orjuela, MSP Sharon Sánchez</w:t>
      </w:r>
    </w:p>
    <w:p w14:paraId="77AC1E0D" w14:textId="77777777" w:rsidR="008D772E" w:rsidRDefault="008D772E" w:rsidP="008D772E">
      <w:pPr>
        <w:spacing w:after="0" w:line="240" w:lineRule="auto"/>
        <w:jc w:val="both"/>
        <w:rPr>
          <w:rFonts w:ascii="Verdana" w:eastAsia="Verdana" w:hAnsi="Verdana" w:cs="Verdana"/>
          <w:sz w:val="20"/>
          <w:szCs w:val="20"/>
        </w:rPr>
      </w:pPr>
    </w:p>
    <w:p w14:paraId="00000031" w14:textId="77777777" w:rsidR="00826198" w:rsidRDefault="00102539">
      <w:pPr>
        <w:spacing w:line="240" w:lineRule="auto"/>
        <w:jc w:val="both"/>
        <w:rPr>
          <w:rFonts w:ascii="Verdana" w:eastAsia="Verdana" w:hAnsi="Verdana" w:cs="Verdana"/>
          <w:sz w:val="20"/>
          <w:szCs w:val="20"/>
        </w:rPr>
      </w:pPr>
      <w:r>
        <w:rPr>
          <w:rFonts w:ascii="Verdana" w:eastAsia="Verdana" w:hAnsi="Verdana" w:cs="Verdana"/>
          <w:i/>
          <w:sz w:val="20"/>
          <w:szCs w:val="20"/>
        </w:rPr>
        <w:t xml:space="preserve">Nota: </w:t>
      </w:r>
      <w:r>
        <w:rPr>
          <w:rFonts w:ascii="Verdana" w:eastAsia="Verdana" w:hAnsi="Verdana" w:cs="Verdana"/>
          <w:sz w:val="20"/>
          <w:szCs w:val="20"/>
        </w:rPr>
        <w:t>Para mayor información consultar el documento “Anexo técnico radiografías”</w:t>
      </w:r>
    </w:p>
    <w:p w14:paraId="00000032" w14:textId="77777777" w:rsidR="00826198" w:rsidRDefault="00826198">
      <w:pPr>
        <w:spacing w:after="0" w:line="240" w:lineRule="auto"/>
        <w:jc w:val="both"/>
        <w:rPr>
          <w:rFonts w:ascii="Verdana" w:eastAsia="Verdana" w:hAnsi="Verdana" w:cs="Verdana"/>
          <w:i/>
          <w:sz w:val="20"/>
          <w:szCs w:val="20"/>
        </w:rPr>
      </w:pPr>
    </w:p>
    <w:p w14:paraId="00000033" w14:textId="77777777" w:rsidR="00826198" w:rsidRDefault="00102539">
      <w:pPr>
        <w:spacing w:line="240" w:lineRule="auto"/>
        <w:ind w:left="284"/>
        <w:jc w:val="both"/>
        <w:rPr>
          <w:rFonts w:ascii="Verdana" w:eastAsia="Verdana" w:hAnsi="Verdana" w:cs="Verdana"/>
          <w:sz w:val="20"/>
          <w:szCs w:val="20"/>
        </w:rPr>
      </w:pPr>
      <w:r>
        <w:rPr>
          <w:rFonts w:ascii="Verdana" w:eastAsia="Verdana" w:hAnsi="Verdana" w:cs="Verdana"/>
          <w:b/>
          <w:sz w:val="20"/>
          <w:szCs w:val="20"/>
          <w:u w:val="single"/>
        </w:rPr>
        <w:t>Bibliografía:</w:t>
      </w:r>
    </w:p>
    <w:p w14:paraId="00000034" w14:textId="77777777" w:rsidR="00826198" w:rsidRDefault="00826198">
      <w:pPr>
        <w:spacing w:after="0" w:line="240" w:lineRule="auto"/>
        <w:jc w:val="both"/>
        <w:rPr>
          <w:rFonts w:ascii="Verdana" w:eastAsia="Verdana" w:hAnsi="Verdana" w:cs="Verdana"/>
          <w:b/>
          <w:sz w:val="20"/>
          <w:szCs w:val="20"/>
        </w:rPr>
      </w:pPr>
    </w:p>
    <w:p w14:paraId="00000035" w14:textId="77777777" w:rsidR="00826198" w:rsidRDefault="00102539">
      <w:pPr>
        <w:widowControl w:val="0"/>
        <w:numPr>
          <w:ilvl w:val="0"/>
          <w:numId w:val="2"/>
        </w:numPr>
        <w:spacing w:after="200" w:line="240" w:lineRule="auto"/>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36" w14:textId="77777777" w:rsidR="00826198" w:rsidRDefault="00102539">
      <w:pPr>
        <w:widowControl w:val="0"/>
        <w:numPr>
          <w:ilvl w:val="0"/>
          <w:numId w:val="2"/>
        </w:numPr>
        <w:spacing w:after="200" w:line="240" w:lineRule="auto"/>
        <w:jc w:val="both"/>
        <w:rPr>
          <w:rFonts w:ascii="Verdana" w:eastAsia="Verdana" w:hAnsi="Verdana" w:cs="Verdana"/>
          <w:sz w:val="20"/>
          <w:szCs w:val="20"/>
        </w:rPr>
      </w:pPr>
      <w:proofErr w:type="spellStart"/>
      <w:r w:rsidRPr="00E54A8F">
        <w:rPr>
          <w:rFonts w:ascii="Verdana" w:eastAsia="Verdana" w:hAnsi="Verdana" w:cs="Verdana"/>
          <w:sz w:val="20"/>
          <w:szCs w:val="20"/>
          <w:lang w:val="en-US"/>
        </w:rPr>
        <w:t>Chaib</w:t>
      </w:r>
      <w:proofErr w:type="spellEnd"/>
      <w:r w:rsidRPr="00E54A8F">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37" w14:textId="77777777" w:rsidR="00826198" w:rsidRDefault="00102539">
      <w:pPr>
        <w:widowControl w:val="0"/>
        <w:numPr>
          <w:ilvl w:val="0"/>
          <w:numId w:val="2"/>
        </w:numPr>
        <w:spacing w:after="200" w:line="240" w:lineRule="auto"/>
        <w:jc w:val="both"/>
        <w:rPr>
          <w:rFonts w:ascii="Verdana" w:eastAsia="Verdana" w:hAnsi="Verdana" w:cs="Verdana"/>
          <w:sz w:val="20"/>
          <w:szCs w:val="20"/>
        </w:rPr>
      </w:pPr>
      <w:r w:rsidRPr="00E54A8F">
        <w:rPr>
          <w:rFonts w:ascii="Verdana" w:eastAsia="Verdana" w:hAnsi="Verdana" w:cs="Verdana"/>
          <w:sz w:val="20"/>
          <w:szCs w:val="20"/>
          <w:lang w:val="en-US"/>
        </w:rPr>
        <w:t xml:space="preserve">Jansen, T., Claassen, L., van Kamp, I., &amp; Timmermans, D. R. (2020). ‘All chemical substances are </w:t>
      </w:r>
      <w:proofErr w:type="spellStart"/>
      <w:r w:rsidRPr="00E54A8F">
        <w:rPr>
          <w:rFonts w:ascii="Verdana" w:eastAsia="Verdana" w:hAnsi="Verdana" w:cs="Verdana"/>
          <w:sz w:val="20"/>
          <w:szCs w:val="20"/>
          <w:lang w:val="en-US"/>
        </w:rPr>
        <w:t>harmful.’public</w:t>
      </w:r>
      <w:proofErr w:type="spellEnd"/>
      <w:r w:rsidRPr="00E54A8F">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Chemical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xml:space="preserve">, 136, 110959. DOI 10.1016/j.fct.2019.110959 </w:t>
      </w:r>
    </w:p>
    <w:p w14:paraId="00000038" w14:textId="6D996371" w:rsidR="00826198" w:rsidRDefault="00102539">
      <w:pPr>
        <w:numPr>
          <w:ilvl w:val="0"/>
          <w:numId w:val="2"/>
        </w:numPr>
        <w:jc w:val="both"/>
        <w:rPr>
          <w:rFonts w:ascii="Verdana" w:eastAsia="Verdana" w:hAnsi="Verdana" w:cs="Verdana"/>
          <w:sz w:val="20"/>
          <w:szCs w:val="20"/>
        </w:rPr>
      </w:pPr>
      <w:r w:rsidRPr="00E54A8F">
        <w:rPr>
          <w:rFonts w:ascii="Verdana" w:eastAsia="Verdana" w:hAnsi="Verdana" w:cs="Verdana"/>
          <w:sz w:val="20"/>
          <w:szCs w:val="20"/>
          <w:lang w:val="en-US"/>
        </w:rPr>
        <w:t xml:space="preserve">Elizabeth, L., Machado, P., </w:t>
      </w:r>
      <w:proofErr w:type="spellStart"/>
      <w:r w:rsidRPr="00E54A8F">
        <w:rPr>
          <w:rFonts w:ascii="Verdana" w:eastAsia="Verdana" w:hAnsi="Verdana" w:cs="Verdana"/>
          <w:sz w:val="20"/>
          <w:szCs w:val="20"/>
          <w:lang w:val="en-US"/>
        </w:rPr>
        <w:t>Zinöcker</w:t>
      </w:r>
      <w:proofErr w:type="spellEnd"/>
      <w:r w:rsidRPr="00E54A8F">
        <w:rPr>
          <w:rFonts w:ascii="Verdana" w:eastAsia="Verdana" w:hAnsi="Verdana" w:cs="Verdana"/>
          <w:sz w:val="20"/>
          <w:szCs w:val="20"/>
          <w:lang w:val="en-US"/>
        </w:rPr>
        <w:t xml:space="preserve">, M., Baker, P., &amp; Lawrence, M. (2020). Ultra-processed foods and health outcomes: a narrative review. Nutrients. </w:t>
      </w:r>
      <w:r>
        <w:rPr>
          <w:rFonts w:ascii="Verdana" w:eastAsia="Verdana" w:hAnsi="Verdana" w:cs="Verdana"/>
          <w:sz w:val="20"/>
          <w:szCs w:val="20"/>
        </w:rPr>
        <w:t>12(7), 1995.</w:t>
      </w:r>
    </w:p>
    <w:p w14:paraId="5B9306D5" w14:textId="13638ADC" w:rsidR="00ED54F3" w:rsidRDefault="00ED54F3" w:rsidP="00ED54F3">
      <w:pPr>
        <w:pStyle w:val="Bibliografa"/>
        <w:numPr>
          <w:ilvl w:val="0"/>
          <w:numId w:val="2"/>
        </w:numPr>
        <w:jc w:val="both"/>
        <w:rPr>
          <w:rFonts w:ascii="Verdana" w:hAnsi="Verdana"/>
          <w:noProof/>
          <w:sz w:val="20"/>
          <w:szCs w:val="20"/>
          <w:lang w:val="en-GB"/>
        </w:rPr>
      </w:pPr>
      <w:r w:rsidRPr="00E54A8F">
        <w:rPr>
          <w:rFonts w:ascii="Verdana" w:hAnsi="Verdana"/>
          <w:noProof/>
          <w:sz w:val="20"/>
          <w:szCs w:val="20"/>
          <w:lang w:val="en-US"/>
        </w:rPr>
        <w:t xml:space="preserve">Kazmi Z, F. I.-M. (2017). </w:t>
      </w:r>
      <w:r w:rsidRPr="005465E1">
        <w:rPr>
          <w:rFonts w:ascii="Verdana" w:hAnsi="Verdana"/>
          <w:noProof/>
          <w:sz w:val="20"/>
          <w:szCs w:val="20"/>
          <w:lang w:val="en-GB"/>
        </w:rPr>
        <w:t xml:space="preserve">Monosodium glutamate: Review on clinical reports. </w:t>
      </w:r>
      <w:r w:rsidRPr="005465E1">
        <w:rPr>
          <w:rFonts w:ascii="Verdana" w:hAnsi="Verdana"/>
          <w:i/>
          <w:iCs/>
          <w:noProof/>
          <w:sz w:val="20"/>
          <w:szCs w:val="20"/>
          <w:lang w:val="en-GB"/>
        </w:rPr>
        <w:t>International Journal of Food Properties</w:t>
      </w:r>
      <w:r w:rsidRPr="005465E1">
        <w:rPr>
          <w:rFonts w:ascii="Verdana" w:hAnsi="Verdana"/>
          <w:noProof/>
          <w:sz w:val="20"/>
          <w:szCs w:val="20"/>
          <w:lang w:val="en-GB"/>
        </w:rPr>
        <w:t>, 1-25.</w:t>
      </w:r>
    </w:p>
    <w:p w14:paraId="6CD2DD81" w14:textId="77777777" w:rsidR="00ED54F3" w:rsidRPr="00ED54F3" w:rsidRDefault="00ED54F3" w:rsidP="00ED54F3">
      <w:pPr>
        <w:rPr>
          <w:lang w:val="en-GB"/>
        </w:rPr>
      </w:pPr>
    </w:p>
    <w:p w14:paraId="00000039" w14:textId="26F68D2F" w:rsidR="00826198" w:rsidRDefault="00102539">
      <w:pPr>
        <w:numPr>
          <w:ilvl w:val="0"/>
          <w:numId w:val="2"/>
        </w:numPr>
        <w:jc w:val="both"/>
        <w:rPr>
          <w:rFonts w:ascii="Verdana" w:eastAsia="Verdana" w:hAnsi="Verdana" w:cs="Verdana"/>
          <w:sz w:val="20"/>
          <w:szCs w:val="20"/>
        </w:rPr>
      </w:pPr>
      <w:r>
        <w:rPr>
          <w:rFonts w:ascii="Verdana" w:eastAsia="Verdana" w:hAnsi="Verdana" w:cs="Verdana"/>
          <w:sz w:val="20"/>
          <w:szCs w:val="20"/>
        </w:rPr>
        <w:t xml:space="preserve">Nieto Vallejo, M. F., &amp; Domínguez Altamirano, M. C. (2013). Evaluación del efecto de tres aditivos y dos tipos de aceite para la elaboración de una papilla a base de </w:t>
      </w:r>
      <w:r>
        <w:rPr>
          <w:rFonts w:ascii="Verdana" w:eastAsia="Verdana" w:hAnsi="Verdana" w:cs="Verdana"/>
          <w:sz w:val="20"/>
          <w:szCs w:val="20"/>
        </w:rPr>
        <w:lastRenderedPageBreak/>
        <w:t>una oleaginosa y cereales extruidos para niños de 6 a 36 meses (</w:t>
      </w:r>
      <w:proofErr w:type="spellStart"/>
      <w:r>
        <w:rPr>
          <w:rFonts w:ascii="Verdana" w:eastAsia="Verdana" w:hAnsi="Verdana" w:cs="Verdana"/>
          <w:sz w:val="20"/>
          <w:szCs w:val="20"/>
        </w:rPr>
        <w:t>Bachelor's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thesis</w:t>
      </w:r>
      <w:proofErr w:type="spellEnd"/>
      <w:r>
        <w:rPr>
          <w:rFonts w:ascii="Verdana" w:eastAsia="Verdana" w:hAnsi="Verdana" w:cs="Verdana"/>
          <w:sz w:val="20"/>
          <w:szCs w:val="20"/>
        </w:rPr>
        <w:t xml:space="preserve">, Quito: USFQ, 2013). </w:t>
      </w:r>
      <w:hyperlink r:id="rId9">
        <w:r>
          <w:rPr>
            <w:rFonts w:ascii="Verdana" w:eastAsia="Verdana" w:hAnsi="Verdana" w:cs="Verdana"/>
            <w:color w:val="1155CC"/>
            <w:sz w:val="20"/>
            <w:szCs w:val="20"/>
            <w:u w:val="single"/>
          </w:rPr>
          <w:t>http://repositorio.usfq.edu.ec/handle/23000/2657</w:t>
        </w:r>
      </w:hyperlink>
      <w:r>
        <w:rPr>
          <w:rFonts w:ascii="Verdana" w:eastAsia="Verdana" w:hAnsi="Verdana" w:cs="Verdana"/>
          <w:sz w:val="20"/>
          <w:szCs w:val="20"/>
        </w:rPr>
        <w:t xml:space="preserve"> </w:t>
      </w:r>
    </w:p>
    <w:p w14:paraId="0000003A" w14:textId="77777777" w:rsidR="00826198" w:rsidRDefault="00102539">
      <w:pPr>
        <w:numPr>
          <w:ilvl w:val="0"/>
          <w:numId w:val="2"/>
        </w:numPr>
        <w:jc w:val="both"/>
        <w:rPr>
          <w:rFonts w:ascii="Verdana" w:eastAsia="Verdana" w:hAnsi="Verdana" w:cs="Verdana"/>
          <w:sz w:val="20"/>
          <w:szCs w:val="20"/>
        </w:rPr>
      </w:pPr>
      <w:r>
        <w:rPr>
          <w:rFonts w:ascii="Verdana" w:eastAsia="Verdana" w:hAnsi="Verdana" w:cs="Verdana"/>
          <w:sz w:val="20"/>
          <w:szCs w:val="20"/>
        </w:rPr>
        <w:t xml:space="preserve">Ministerio de trabajo, migraciones y seguridad social de E. DOCUMENTACIÓN TOXICOLÓGICA PARA EL LA ESTABLECIMIENTO DEL LÍMITE DE EXPOSICIÓN V PROFESIONAL DEL DIACETILO. 2015. </w:t>
      </w:r>
      <w:hyperlink r:id="rId10">
        <w:r>
          <w:rPr>
            <w:rFonts w:ascii="Verdana" w:eastAsia="Verdana" w:hAnsi="Verdana" w:cs="Verdana"/>
            <w:color w:val="1155CC"/>
            <w:sz w:val="20"/>
            <w:szCs w:val="20"/>
            <w:u w:val="single"/>
          </w:rPr>
          <w:t>https://www.insst.es/documents/94886/431980/DLEP+126+Diacetilo+2019.pdf/2008d8a5-4569-4327-91a7-c7079bee125a?version=1.1&amp;t=1578966386428</w:t>
        </w:r>
      </w:hyperlink>
      <w:r>
        <w:rPr>
          <w:rFonts w:ascii="Verdana" w:eastAsia="Verdana" w:hAnsi="Verdana" w:cs="Verdana"/>
          <w:sz w:val="20"/>
          <w:szCs w:val="20"/>
        </w:rPr>
        <w:t xml:space="preserve"> </w:t>
      </w:r>
    </w:p>
    <w:p w14:paraId="0000003B" w14:textId="77777777" w:rsidR="00826198" w:rsidRDefault="00826198">
      <w:pPr>
        <w:widowControl w:val="0"/>
        <w:spacing w:after="200" w:line="240" w:lineRule="auto"/>
        <w:jc w:val="both"/>
        <w:rPr>
          <w:rFonts w:ascii="Verdana" w:eastAsia="Verdana" w:hAnsi="Verdana" w:cs="Verdana"/>
          <w:sz w:val="20"/>
          <w:szCs w:val="20"/>
        </w:rPr>
      </w:pPr>
    </w:p>
    <w:p w14:paraId="0000003C" w14:textId="77777777" w:rsidR="00826198" w:rsidRDefault="00826198">
      <w:pPr>
        <w:widowControl w:val="0"/>
        <w:spacing w:line="240" w:lineRule="auto"/>
        <w:ind w:left="640" w:hanging="640"/>
        <w:rPr>
          <w:rFonts w:ascii="Verdana" w:eastAsia="Verdana" w:hAnsi="Verdana" w:cs="Verdana"/>
          <w:sz w:val="20"/>
          <w:szCs w:val="20"/>
          <w:highlight w:val="white"/>
        </w:rPr>
      </w:pPr>
    </w:p>
    <w:p w14:paraId="0000003D" w14:textId="77777777" w:rsidR="00826198" w:rsidRDefault="00826198">
      <w:pPr>
        <w:spacing w:line="240" w:lineRule="auto"/>
        <w:jc w:val="both"/>
        <w:rPr>
          <w:rFonts w:ascii="Verdana" w:eastAsia="Verdana" w:hAnsi="Verdana" w:cs="Verdana"/>
          <w:sz w:val="20"/>
          <w:szCs w:val="20"/>
        </w:rPr>
      </w:pPr>
    </w:p>
    <w:sectPr w:rsidR="0082619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4CF8" w14:textId="77777777" w:rsidR="008145B8" w:rsidRDefault="008145B8">
      <w:pPr>
        <w:spacing w:after="0" w:line="240" w:lineRule="auto"/>
      </w:pPr>
      <w:r>
        <w:separator/>
      </w:r>
    </w:p>
  </w:endnote>
  <w:endnote w:type="continuationSeparator" w:id="0">
    <w:p w14:paraId="22FAFCF7" w14:textId="77777777" w:rsidR="008145B8" w:rsidRDefault="0081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20E9" w14:textId="77777777" w:rsidR="008145B8" w:rsidRDefault="008145B8">
      <w:pPr>
        <w:spacing w:after="0" w:line="240" w:lineRule="auto"/>
      </w:pPr>
      <w:r>
        <w:separator/>
      </w:r>
    </w:p>
  </w:footnote>
  <w:footnote w:type="continuationSeparator" w:id="0">
    <w:p w14:paraId="54B514F4" w14:textId="77777777" w:rsidR="008145B8" w:rsidRDefault="008145B8">
      <w:pPr>
        <w:spacing w:after="0" w:line="240" w:lineRule="auto"/>
      </w:pPr>
      <w:r>
        <w:continuationSeparator/>
      </w:r>
    </w:p>
  </w:footnote>
  <w:footnote w:id="1">
    <w:p w14:paraId="0000003E" w14:textId="77777777" w:rsidR="00826198" w:rsidRDefault="00102539">
      <w:pPr>
        <w:spacing w:after="0" w:line="240" w:lineRule="auto"/>
        <w:jc w:val="both"/>
        <w:rPr>
          <w:sz w:val="20"/>
          <w:szCs w:val="20"/>
          <w:shd w:val="clear" w:color="auto" w:fill="B6D7A8"/>
        </w:rPr>
      </w:pPr>
      <w:r>
        <w:rPr>
          <w:vertAlign w:val="superscript"/>
        </w:rPr>
        <w:footnoteRef/>
      </w:r>
      <w:r>
        <w:rPr>
          <w:sz w:val="20"/>
          <w:szCs w:val="20"/>
        </w:rPr>
        <w:t xml:space="preserve"> Cada gramo de azúcar aporta 4 kilocalorías. La cantidad de una cuchara de postre equivale a 4,5 gramos de azúcar. Según el perfil de Nutrientes de la Organización Panamericana de la Salud (OPS) 2016, un producto tiene exceso de azúcares libres, cuando las kilocalorías aportadas provenientes por los azúcares son iguales o superiores al 10 % de las kilocalorías aportadas por la porción establecida por el fabricante en el etiquetado.</w:t>
      </w:r>
    </w:p>
  </w:footnote>
  <w:footnote w:id="2">
    <w:p w14:paraId="0000003F" w14:textId="77777777" w:rsidR="00826198" w:rsidRDefault="00102539">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4C7"/>
    <w:multiLevelType w:val="multilevel"/>
    <w:tmpl w:val="A0CE9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886333"/>
    <w:multiLevelType w:val="multilevel"/>
    <w:tmpl w:val="E6423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A34FBC"/>
    <w:multiLevelType w:val="multilevel"/>
    <w:tmpl w:val="6E9CB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AA1A2B"/>
    <w:multiLevelType w:val="multilevel"/>
    <w:tmpl w:val="16E6B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8561B0"/>
    <w:multiLevelType w:val="multilevel"/>
    <w:tmpl w:val="B1FA31A8"/>
    <w:lvl w:ilvl="0">
      <w:start w:val="1"/>
      <w:numFmt w:val="decimal"/>
      <w:lvlText w:val="%1."/>
      <w:lvlJc w:val="left"/>
      <w:pPr>
        <w:ind w:left="720" w:hanging="360"/>
      </w:pPr>
      <w:rPr>
        <w:rFonts w:ascii="Times New Roman" w:eastAsia="Times New Roman" w:hAnsi="Times New Roman" w:cs="Times New Roman"/>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EF13FE"/>
    <w:multiLevelType w:val="multilevel"/>
    <w:tmpl w:val="773EFCA0"/>
    <w:lvl w:ilvl="0">
      <w:start w:val="3"/>
      <w:numFmt w:val="bullet"/>
      <w:lvlText w:val="-"/>
      <w:lvlJc w:val="left"/>
      <w:pPr>
        <w:ind w:left="1068" w:hanging="360"/>
      </w:pPr>
      <w:rPr>
        <w:rFonts w:ascii="Calibri" w:eastAsia="Calibri" w:hAnsi="Calibri" w:cs="Calibri"/>
        <w:shd w:val="clear" w:color="auto" w:fill="auto"/>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66632833"/>
    <w:multiLevelType w:val="multilevel"/>
    <w:tmpl w:val="D00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xNzY3Mjc2sDAxMTZV0lEKTi0uzszPAykwrAUAdKZvwSwAAAA="/>
  </w:docVars>
  <w:rsids>
    <w:rsidRoot w:val="00826198"/>
    <w:rsid w:val="000E67AE"/>
    <w:rsid w:val="00102539"/>
    <w:rsid w:val="003737C3"/>
    <w:rsid w:val="0048219E"/>
    <w:rsid w:val="008145B8"/>
    <w:rsid w:val="00826198"/>
    <w:rsid w:val="008D772E"/>
    <w:rsid w:val="00D52DB0"/>
    <w:rsid w:val="00E54A8F"/>
    <w:rsid w:val="00ED54F3"/>
    <w:rsid w:val="00F03D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A5CF"/>
  <w15:docId w15:val="{A68FF455-A2B3-4829-8075-A7C9EF2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3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432A39"/>
    <w:pPr>
      <w:ind w:left="720"/>
      <w:contextualSpacing/>
    </w:pPr>
  </w:style>
  <w:style w:type="paragraph" w:styleId="Encabezado">
    <w:name w:val="header"/>
    <w:basedOn w:val="Normal"/>
    <w:link w:val="EncabezadoCar"/>
    <w:uiPriority w:val="99"/>
    <w:unhideWhenUsed/>
    <w:rsid w:val="009C2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59A"/>
  </w:style>
  <w:style w:type="paragraph" w:styleId="Piedepgina">
    <w:name w:val="footer"/>
    <w:basedOn w:val="Normal"/>
    <w:link w:val="PiedepginaCar"/>
    <w:uiPriority w:val="99"/>
    <w:unhideWhenUsed/>
    <w:rsid w:val="009C2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59A"/>
  </w:style>
  <w:style w:type="character" w:styleId="Refdecomentario">
    <w:name w:val="annotation reference"/>
    <w:basedOn w:val="Fuentedeprrafopredeter"/>
    <w:uiPriority w:val="99"/>
    <w:semiHidden/>
    <w:unhideWhenUsed/>
    <w:rsid w:val="00314BCA"/>
    <w:rPr>
      <w:sz w:val="16"/>
      <w:szCs w:val="16"/>
    </w:rPr>
  </w:style>
  <w:style w:type="paragraph" w:styleId="Textocomentario">
    <w:name w:val="annotation text"/>
    <w:basedOn w:val="Normal"/>
    <w:link w:val="TextocomentarioCar"/>
    <w:uiPriority w:val="99"/>
    <w:semiHidden/>
    <w:unhideWhenUsed/>
    <w:rsid w:val="00314B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4BCA"/>
    <w:rPr>
      <w:sz w:val="20"/>
      <w:szCs w:val="20"/>
    </w:rPr>
  </w:style>
  <w:style w:type="paragraph" w:styleId="Textodeglobo">
    <w:name w:val="Balloon Text"/>
    <w:basedOn w:val="Normal"/>
    <w:link w:val="TextodegloboCar"/>
    <w:uiPriority w:val="99"/>
    <w:semiHidden/>
    <w:unhideWhenUsed/>
    <w:rsid w:val="00314B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BC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BC2"/>
    <w:rPr>
      <w:b/>
      <w:bCs/>
    </w:rPr>
  </w:style>
  <w:style w:type="character" w:customStyle="1" w:styleId="AsuntodelcomentarioCar">
    <w:name w:val="Asunto del comentario Car"/>
    <w:basedOn w:val="TextocomentarioCar"/>
    <w:link w:val="Asuntodelcomentario"/>
    <w:uiPriority w:val="99"/>
    <w:semiHidden/>
    <w:rsid w:val="00261BC2"/>
    <w:rPr>
      <w:b/>
      <w:bCs/>
      <w:sz w:val="20"/>
      <w:szCs w:val="20"/>
    </w:rPr>
  </w:style>
  <w:style w:type="paragraph" w:styleId="Sinespaciado">
    <w:name w:val="No Spacing"/>
    <w:uiPriority w:val="1"/>
    <w:qFormat/>
    <w:rsid w:val="006176E8"/>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Bibliografa">
    <w:name w:val="Bibliography"/>
    <w:basedOn w:val="Normal"/>
    <w:next w:val="Normal"/>
    <w:uiPriority w:val="37"/>
    <w:unhideWhenUsed/>
    <w:rsid w:val="00ED54F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st.es/documents/94886/431980/DLEP+126+Diacetilo+2019.pdf/2008d8a5-4569-4327-91a7-c7079bee125a?version=1.1&amp;t=1578966386428" TargetMode="External"/><Relationship Id="rId4" Type="http://schemas.openxmlformats.org/officeDocument/2006/relationships/settings" Target="settings.xml"/><Relationship Id="rId9" Type="http://schemas.openxmlformats.org/officeDocument/2006/relationships/hyperlink" Target="http://repositorio.usfq.edu.ec/handle/23000/26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qqaCKAJLeQvDtoA8GRPDVAJ/w==">AMUW2mXjgVSP21vd3TkzjDqij+TrSN1CKzmqqAldetj1wpU9wfdi09mOftrZJZuhO0XiW8Xb0ZisAFETV20+3BbRmOtGwuoOf9VnImciUcc/56AmnHdUacQVxGNtXvjnFdm1efR8n1h0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Ardila, Paula</dc:creator>
  <cp:lastModifiedBy>SUSANA</cp:lastModifiedBy>
  <cp:revision>3</cp:revision>
  <dcterms:created xsi:type="dcterms:W3CDTF">2022-02-27T22:24:00Z</dcterms:created>
  <dcterms:modified xsi:type="dcterms:W3CDTF">2022-03-09T19:23:00Z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a5ce91f3-ea16-3e76-9a95-fb9303b6318e</vt:lpwstr>
  </property>
  <property fmtid="{D5CDD505-2E9C-101B-9397-08002B2CF9AE}" pid="24" name="Mendeley Citation Style_1">
    <vt:lpwstr>http://www.zotero.org/styles/vancouver</vt:lpwstr>
  </property>
</Properties>
</file>