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1F681D" w:rsidRDefault="006E7110">
      <w:pPr>
        <w:spacing w:after="0" w:line="240" w:lineRule="auto"/>
        <w:jc w:val="center"/>
        <w:rPr>
          <w:rFonts w:ascii="Verdana" w:eastAsia="Verdana" w:hAnsi="Verdana" w:cs="Verdana"/>
          <w:b/>
          <w:sz w:val="20"/>
          <w:szCs w:val="20"/>
        </w:rPr>
      </w:pPr>
      <w:bookmarkStart w:id="0" w:name="_heading=h.gjdgxs" w:colFirst="0" w:colLast="0"/>
      <w:bookmarkEnd w:id="0"/>
      <w:r>
        <w:rPr>
          <w:rFonts w:ascii="Verdana" w:eastAsia="Verdana" w:hAnsi="Verdana" w:cs="Verdana"/>
          <w:b/>
          <w:sz w:val="20"/>
          <w:szCs w:val="20"/>
        </w:rPr>
        <w:t xml:space="preserve">Radiografía </w:t>
      </w:r>
      <w:proofErr w:type="spellStart"/>
      <w:r>
        <w:rPr>
          <w:rFonts w:ascii="Verdana" w:eastAsia="Verdana" w:hAnsi="Verdana" w:cs="Verdana"/>
          <w:b/>
          <w:sz w:val="20"/>
          <w:szCs w:val="20"/>
        </w:rPr>
        <w:t>Saltinas</w:t>
      </w:r>
      <w:proofErr w:type="spellEnd"/>
      <w:r>
        <w:rPr>
          <w:rFonts w:ascii="Verdana" w:eastAsia="Verdana" w:hAnsi="Verdana" w:cs="Verdana"/>
          <w:b/>
          <w:sz w:val="20"/>
          <w:szCs w:val="20"/>
        </w:rPr>
        <w:t xml:space="preserve"> Doré 351 g</w:t>
      </w:r>
    </w:p>
    <w:p w14:paraId="00000002" w14:textId="77777777" w:rsidR="001F681D" w:rsidRDefault="006E7110">
      <w:pPr>
        <w:spacing w:after="0" w:line="240" w:lineRule="auto"/>
        <w:ind w:left="1700" w:right="62" w:hanging="1700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Tamaño de la porción: 30 g (4 galletas), pero el paquete trae 351 g</w:t>
      </w:r>
    </w:p>
    <w:p w14:paraId="00000003" w14:textId="77777777" w:rsidR="001F681D" w:rsidRDefault="006E7110">
      <w:pPr>
        <w:spacing w:after="0" w:line="240" w:lineRule="auto"/>
        <w:ind w:left="1700" w:right="62" w:hanging="1700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Kilocalorías (Kcal): 140 por porción</w:t>
      </w:r>
    </w:p>
    <w:p w14:paraId="00000004" w14:textId="77777777" w:rsidR="001F681D" w:rsidRDefault="006E7110">
      <w:pPr>
        <w:spacing w:after="0" w:line="240" w:lineRule="auto"/>
        <w:ind w:left="1700" w:right="62" w:hanging="1700"/>
        <w:jc w:val="center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Número de porciones por envase: 12 aproximadamente</w:t>
      </w:r>
    </w:p>
    <w:p w14:paraId="00000005" w14:textId="77777777" w:rsidR="001F681D" w:rsidRDefault="001F681D">
      <w:pPr>
        <w:spacing w:line="240" w:lineRule="auto"/>
        <w:jc w:val="both"/>
        <w:rPr>
          <w:rFonts w:ascii="Verdana" w:eastAsia="Verdana" w:hAnsi="Verdana" w:cs="Verdana"/>
          <w:sz w:val="20"/>
          <w:szCs w:val="20"/>
          <w:highlight w:val="white"/>
        </w:rPr>
      </w:pPr>
    </w:p>
    <w:p w14:paraId="0000000A" w14:textId="77777777" w:rsidR="001F681D" w:rsidRDefault="006E7110">
      <w:pPr>
        <w:spacing w:after="0" w:line="240" w:lineRule="auto"/>
        <w:jc w:val="both"/>
        <w:rPr>
          <w:rFonts w:ascii="Verdana" w:eastAsia="Verdana" w:hAnsi="Verdana" w:cs="Verdana"/>
          <w:sz w:val="20"/>
          <w:szCs w:val="20"/>
          <w:highlight w:val="green"/>
        </w:rPr>
      </w:pPr>
      <w:bookmarkStart w:id="1" w:name="_GoBack"/>
      <w:bookmarkEnd w:id="1"/>
      <w:r>
        <w:rPr>
          <w:rFonts w:ascii="Verdana" w:eastAsia="Verdana" w:hAnsi="Verdana" w:cs="Verdana"/>
          <w:b/>
          <w:sz w:val="20"/>
          <w:szCs w:val="20"/>
          <w:highlight w:val="white"/>
        </w:rPr>
        <w:t>Según la Organización Panamericana de la Salud, estos son los sellos de advertencia que tendría este producto: EXCESO DE SODIO Y EXCESO DE GRASAS SATURADAS</w:t>
      </w:r>
      <w:r>
        <w:rPr>
          <w:rFonts w:ascii="Verdana" w:eastAsia="Verdana" w:hAnsi="Verdana" w:cs="Verdana"/>
          <w:sz w:val="20"/>
          <w:szCs w:val="20"/>
          <w:highlight w:val="white"/>
        </w:rPr>
        <w:t xml:space="preserve"> (1).</w:t>
      </w:r>
    </w:p>
    <w:p w14:paraId="0000000B" w14:textId="77777777" w:rsidR="001F681D" w:rsidRDefault="001F681D">
      <w:pPr>
        <w:spacing w:after="0" w:line="240" w:lineRule="auto"/>
        <w:jc w:val="both"/>
        <w:rPr>
          <w:rFonts w:ascii="Verdana" w:eastAsia="Verdana" w:hAnsi="Verdana" w:cs="Verdana"/>
          <w:sz w:val="20"/>
          <w:szCs w:val="20"/>
          <w:highlight w:val="white"/>
        </w:rPr>
      </w:pPr>
    </w:p>
    <w:p w14:paraId="0000000C" w14:textId="77777777" w:rsidR="001F681D" w:rsidRDefault="006E7110">
      <w:pPr>
        <w:spacing w:line="24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Clasificación: </w:t>
      </w:r>
      <w:r>
        <w:rPr>
          <w:rFonts w:ascii="Verdana" w:eastAsia="Verdana" w:hAnsi="Verdana" w:cs="Verdana"/>
          <w:sz w:val="20"/>
          <w:szCs w:val="20"/>
        </w:rPr>
        <w:t xml:space="preserve">Producto comestible </w:t>
      </w:r>
      <w:proofErr w:type="spellStart"/>
      <w:r>
        <w:rPr>
          <w:rFonts w:ascii="Verdana" w:eastAsia="Verdana" w:hAnsi="Verdana" w:cs="Verdana"/>
          <w:sz w:val="20"/>
          <w:szCs w:val="20"/>
        </w:rPr>
        <w:t>ultraprocesado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- </w:t>
      </w:r>
      <w:r>
        <w:rPr>
          <w:rFonts w:ascii="Verdana" w:eastAsia="Verdana" w:hAnsi="Verdana" w:cs="Verdana"/>
          <w:sz w:val="20"/>
          <w:szCs w:val="20"/>
        </w:rPr>
        <w:t>Panadería industrializada - Pan tajado industrial, tortillas de harina industriales o galletas saladas</w:t>
      </w:r>
    </w:p>
    <w:p w14:paraId="0000000D" w14:textId="77777777" w:rsidR="001F681D" w:rsidRDefault="006E7110">
      <w:pPr>
        <w:spacing w:line="240" w:lineRule="auto"/>
        <w:jc w:val="both"/>
        <w:rPr>
          <w:rFonts w:ascii="Verdana" w:eastAsia="Verdana" w:hAnsi="Verdana" w:cs="Verdana"/>
          <w:sz w:val="20"/>
          <w:szCs w:val="20"/>
          <w:highlight w:val="white"/>
        </w:rPr>
      </w:pPr>
      <w:r>
        <w:rPr>
          <w:rFonts w:ascii="Verdana" w:eastAsia="Verdana" w:hAnsi="Verdana" w:cs="Verdana"/>
          <w:b/>
          <w:sz w:val="20"/>
          <w:szCs w:val="20"/>
          <w:highlight w:val="white"/>
        </w:rPr>
        <w:t xml:space="preserve">Análisis general del producto: </w:t>
      </w:r>
      <w:r>
        <w:rPr>
          <w:rFonts w:ascii="Verdana" w:eastAsia="Verdana" w:hAnsi="Verdana" w:cs="Verdana"/>
          <w:sz w:val="20"/>
          <w:szCs w:val="20"/>
          <w:highlight w:val="white"/>
        </w:rPr>
        <w:t>Este producto contiene 16 ingredientes, 10 de ellos aditivos. Algunos aditivos usados en producción industrial de alimento</w:t>
      </w:r>
      <w:r>
        <w:rPr>
          <w:rFonts w:ascii="Verdana" w:eastAsia="Verdana" w:hAnsi="Verdana" w:cs="Verdana"/>
          <w:sz w:val="20"/>
          <w:szCs w:val="20"/>
          <w:highlight w:val="white"/>
        </w:rPr>
        <w:t xml:space="preserve">s podrían afectar la salud (2)(3). Este producto excede los límites de la cantidad recomendada de consumo de sodio y grasa saturada, según los criterios de la Organización Panamericana de la Salud (0PS) (1). El consumo de productos que contienen exceso de </w:t>
      </w:r>
      <w:r>
        <w:rPr>
          <w:rFonts w:ascii="Verdana" w:eastAsia="Verdana" w:hAnsi="Verdana" w:cs="Verdana"/>
          <w:sz w:val="20"/>
          <w:szCs w:val="20"/>
          <w:highlight w:val="white"/>
        </w:rPr>
        <w:t>estos nutrientes, se relaciona con mayor riesgo de sufrir enfermedades cardiovasculares, hipertensión arterial, enfermedades renales, entre otras enfermedades no transmisibles (4).</w:t>
      </w:r>
    </w:p>
    <w:p w14:paraId="0000000E" w14:textId="77777777" w:rsidR="001F681D" w:rsidRDefault="001F681D">
      <w:pPr>
        <w:spacing w:after="0" w:line="240" w:lineRule="auto"/>
        <w:jc w:val="both"/>
        <w:rPr>
          <w:rFonts w:ascii="Verdana" w:eastAsia="Verdana" w:hAnsi="Verdana" w:cs="Verdana"/>
          <w:sz w:val="20"/>
          <w:szCs w:val="20"/>
          <w:highlight w:val="white"/>
        </w:rPr>
      </w:pPr>
    </w:p>
    <w:p w14:paraId="0000000F" w14:textId="77777777" w:rsidR="001F681D" w:rsidRDefault="006E7110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Verdana" w:eastAsia="Verdana" w:hAnsi="Verdana" w:cs="Verdana"/>
          <w:b/>
          <w:color w:val="000000"/>
          <w:sz w:val="20"/>
          <w:szCs w:val="20"/>
          <w:highlight w:val="white"/>
        </w:rPr>
      </w:pPr>
      <w:r>
        <w:rPr>
          <w:rFonts w:ascii="Verdana" w:eastAsia="Verdana" w:hAnsi="Verdana" w:cs="Verdana"/>
          <w:b/>
          <w:color w:val="000000"/>
          <w:sz w:val="20"/>
          <w:szCs w:val="20"/>
          <w:highlight w:val="white"/>
        </w:rPr>
        <w:t>Ingredientes: (1</w:t>
      </w:r>
      <w:r>
        <w:rPr>
          <w:rFonts w:ascii="Verdana" w:eastAsia="Verdana" w:hAnsi="Verdana" w:cs="Verdana"/>
          <w:b/>
          <w:sz w:val="20"/>
          <w:szCs w:val="20"/>
          <w:highlight w:val="white"/>
        </w:rPr>
        <w:t>6</w:t>
      </w:r>
      <w:r>
        <w:rPr>
          <w:rFonts w:ascii="Verdana" w:eastAsia="Verdana" w:hAnsi="Verdana" w:cs="Verdana"/>
          <w:b/>
          <w:color w:val="000000"/>
          <w:sz w:val="20"/>
          <w:szCs w:val="20"/>
          <w:highlight w:val="white"/>
        </w:rPr>
        <w:t xml:space="preserve"> ingredientes)</w:t>
      </w:r>
    </w:p>
    <w:p w14:paraId="00000010" w14:textId="77777777" w:rsidR="001F681D" w:rsidRDefault="001F681D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Verdana" w:eastAsia="Verdana" w:hAnsi="Verdana" w:cs="Verdana"/>
          <w:sz w:val="20"/>
          <w:szCs w:val="20"/>
          <w:highlight w:val="white"/>
        </w:rPr>
      </w:pPr>
    </w:p>
    <w:p w14:paraId="00000011" w14:textId="77777777" w:rsidR="001F681D" w:rsidRDefault="006E7110">
      <w:pPr>
        <w:spacing w:after="0" w:line="240" w:lineRule="auto"/>
        <w:ind w:hanging="2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A continuación, se enumeran los ingredientes del producto, de mayor a menor cantidad, de acuerdo a la información reportada en la etiqueta.</w:t>
      </w:r>
    </w:p>
    <w:p w14:paraId="00000012" w14:textId="77777777" w:rsidR="001F681D" w:rsidRDefault="001F681D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Verdana" w:eastAsia="Verdana" w:hAnsi="Verdana" w:cs="Verdana"/>
          <w:sz w:val="20"/>
          <w:szCs w:val="20"/>
          <w:highlight w:val="white"/>
        </w:rPr>
      </w:pPr>
    </w:p>
    <w:p w14:paraId="00000013" w14:textId="77777777" w:rsidR="001F681D" w:rsidRDefault="006E711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Harina de trigo fortificada (Niacina, Hierro, Vitaminas B1, B2, y Ácido Fólico)</w:t>
      </w:r>
    </w:p>
    <w:p w14:paraId="00000014" w14:textId="77777777" w:rsidR="001F681D" w:rsidRDefault="006E711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Oleína de Palma</w:t>
      </w:r>
    </w:p>
    <w:p w14:paraId="00000015" w14:textId="77777777" w:rsidR="001F681D" w:rsidRDefault="006E711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Azúcar Invertido</w:t>
      </w:r>
    </w:p>
    <w:p w14:paraId="00000016" w14:textId="77777777" w:rsidR="001F681D" w:rsidRDefault="006E711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Az</w:t>
      </w:r>
      <w:r>
        <w:rPr>
          <w:rFonts w:ascii="Verdana" w:eastAsia="Verdana" w:hAnsi="Verdana" w:cs="Verdana"/>
          <w:color w:val="000000"/>
          <w:sz w:val="20"/>
          <w:szCs w:val="20"/>
        </w:rPr>
        <w:t>úcar</w:t>
      </w:r>
    </w:p>
    <w:p w14:paraId="00000017" w14:textId="77777777" w:rsidR="001F681D" w:rsidRDefault="006E711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Bicarbonato de Amonio</w:t>
      </w:r>
      <w:r>
        <w:rPr>
          <w:rFonts w:ascii="Verdana" w:eastAsia="Verdana" w:hAnsi="Verdana" w:cs="Verdana"/>
          <w:sz w:val="20"/>
          <w:szCs w:val="20"/>
        </w:rPr>
        <w:t xml:space="preserve"> (Leudante). </w:t>
      </w:r>
    </w:p>
    <w:p w14:paraId="00000018" w14:textId="77777777" w:rsidR="001F681D" w:rsidRDefault="006E711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Bicarbonato de Sodio</w:t>
      </w:r>
      <w:r>
        <w:rPr>
          <w:rFonts w:ascii="Verdana" w:eastAsia="Verdana" w:hAnsi="Verdana" w:cs="Verdana"/>
          <w:sz w:val="20"/>
          <w:szCs w:val="20"/>
        </w:rPr>
        <w:t xml:space="preserve"> (Leudante).</w:t>
      </w:r>
    </w:p>
    <w:p w14:paraId="00000019" w14:textId="77777777" w:rsidR="001F681D" w:rsidRDefault="006E711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Fosfato </w:t>
      </w:r>
      <w:proofErr w:type="spellStart"/>
      <w:r>
        <w:rPr>
          <w:rFonts w:ascii="Verdana" w:eastAsia="Verdana" w:hAnsi="Verdana" w:cs="Verdana"/>
          <w:sz w:val="20"/>
          <w:szCs w:val="20"/>
        </w:rPr>
        <w:t>monocálcico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(Leudante).</w:t>
      </w:r>
    </w:p>
    <w:p w14:paraId="0000001A" w14:textId="77777777" w:rsidR="001F681D" w:rsidRDefault="006E711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Sal yodada</w:t>
      </w:r>
    </w:p>
    <w:p w14:paraId="0000001B" w14:textId="77777777" w:rsidR="001F681D" w:rsidRDefault="006E711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Cloruro de potasio</w:t>
      </w:r>
    </w:p>
    <w:p w14:paraId="0000001C" w14:textId="77777777" w:rsidR="001F681D" w:rsidRDefault="006E711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Leche Entera en </w:t>
      </w:r>
      <w:r>
        <w:rPr>
          <w:rFonts w:ascii="Verdana" w:eastAsia="Verdana" w:hAnsi="Verdana" w:cs="Verdana"/>
          <w:sz w:val="20"/>
          <w:szCs w:val="20"/>
        </w:rPr>
        <w:t>p</w:t>
      </w:r>
      <w:r>
        <w:rPr>
          <w:rFonts w:ascii="Verdana" w:eastAsia="Verdana" w:hAnsi="Verdana" w:cs="Verdana"/>
          <w:color w:val="000000"/>
          <w:sz w:val="20"/>
          <w:szCs w:val="20"/>
        </w:rPr>
        <w:t>olvo</w:t>
      </w:r>
    </w:p>
    <w:p w14:paraId="0000001D" w14:textId="77777777" w:rsidR="001F681D" w:rsidRDefault="006E711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Lecitina de Soya</w:t>
      </w:r>
      <w:r>
        <w:rPr>
          <w:rFonts w:ascii="Verdana" w:eastAsia="Verdana" w:hAnsi="Verdana" w:cs="Verdana"/>
          <w:sz w:val="20"/>
          <w:szCs w:val="20"/>
        </w:rPr>
        <w:t xml:space="preserve"> (</w:t>
      </w:r>
      <w:proofErr w:type="spellStart"/>
      <w:r>
        <w:rPr>
          <w:rFonts w:ascii="Verdana" w:eastAsia="Verdana" w:hAnsi="Verdana" w:cs="Verdana"/>
          <w:sz w:val="20"/>
          <w:szCs w:val="20"/>
        </w:rPr>
        <w:t>emulsificante</w:t>
      </w:r>
      <w:proofErr w:type="spellEnd"/>
      <w:r>
        <w:rPr>
          <w:rFonts w:ascii="Verdana" w:eastAsia="Verdana" w:hAnsi="Verdana" w:cs="Verdana"/>
          <w:sz w:val="20"/>
          <w:szCs w:val="20"/>
        </w:rPr>
        <w:t>).</w:t>
      </w:r>
    </w:p>
    <w:p w14:paraId="0000001E" w14:textId="77777777" w:rsidR="001F681D" w:rsidRDefault="006E711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Ésteres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Diacetiltartáricos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(</w:t>
      </w:r>
      <w:proofErr w:type="spellStart"/>
      <w:r>
        <w:rPr>
          <w:rFonts w:ascii="Verdana" w:eastAsia="Verdana" w:hAnsi="Verdana" w:cs="Verdana"/>
          <w:sz w:val="20"/>
          <w:szCs w:val="20"/>
        </w:rPr>
        <w:t>emulsificante</w:t>
      </w:r>
      <w:proofErr w:type="spellEnd"/>
      <w:r>
        <w:rPr>
          <w:rFonts w:ascii="Verdana" w:eastAsia="Verdana" w:hAnsi="Verdana" w:cs="Verdana"/>
          <w:sz w:val="20"/>
          <w:szCs w:val="20"/>
        </w:rPr>
        <w:t>).</w:t>
      </w:r>
    </w:p>
    <w:p w14:paraId="0000001F" w14:textId="77777777" w:rsidR="001F681D" w:rsidRDefault="006E7110">
      <w:pPr>
        <w:numPr>
          <w:ilvl w:val="0"/>
          <w:numId w:val="4"/>
        </w:numPr>
        <w:tabs>
          <w:tab w:val="left" w:pos="284"/>
        </w:tabs>
        <w:spacing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Ésteres de ácidos grasos de glicerol (</w:t>
      </w:r>
      <w:proofErr w:type="spellStart"/>
      <w:r>
        <w:rPr>
          <w:rFonts w:ascii="Verdana" w:eastAsia="Verdana" w:hAnsi="Verdana" w:cs="Verdana"/>
          <w:sz w:val="20"/>
          <w:szCs w:val="20"/>
        </w:rPr>
        <w:t>emulsificante</w:t>
      </w:r>
      <w:proofErr w:type="spellEnd"/>
      <w:r>
        <w:rPr>
          <w:rFonts w:ascii="Verdana" w:eastAsia="Verdana" w:hAnsi="Verdana" w:cs="Verdana"/>
          <w:sz w:val="20"/>
          <w:szCs w:val="20"/>
        </w:rPr>
        <w:t>).</w:t>
      </w:r>
    </w:p>
    <w:p w14:paraId="00000020" w14:textId="77777777" w:rsidR="001F681D" w:rsidRDefault="006E711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Aroma Idéntico al natural </w:t>
      </w:r>
    </w:p>
    <w:p w14:paraId="00000021" w14:textId="77777777" w:rsidR="001F681D" w:rsidRDefault="006E711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proofErr w:type="spellStart"/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sz w:val="20"/>
          <w:szCs w:val="20"/>
        </w:rPr>
        <w:t>isulfito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de Sodio </w:t>
      </w:r>
      <w:r>
        <w:rPr>
          <w:rFonts w:ascii="Verdana" w:eastAsia="Verdana" w:hAnsi="Verdana" w:cs="Verdana"/>
          <w:sz w:val="20"/>
          <w:szCs w:val="20"/>
        </w:rPr>
        <w:t xml:space="preserve">(acondicionador de Masa). </w:t>
      </w:r>
    </w:p>
    <w:p w14:paraId="00000022" w14:textId="77777777" w:rsidR="001F681D" w:rsidRDefault="006E711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Glutamato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Monosódico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(acentuador de sabor). </w:t>
      </w:r>
    </w:p>
    <w:p w14:paraId="00000023" w14:textId="77777777" w:rsidR="001F681D" w:rsidRDefault="001F681D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Verdana" w:eastAsia="Verdana" w:hAnsi="Verdana" w:cs="Verdana"/>
          <w:sz w:val="20"/>
          <w:szCs w:val="20"/>
          <w:highlight w:val="white"/>
        </w:rPr>
      </w:pPr>
    </w:p>
    <w:p w14:paraId="00000024" w14:textId="77777777" w:rsidR="001F681D" w:rsidRDefault="006E7110">
      <w:pPr>
        <w:tabs>
          <w:tab w:val="left" w:pos="284"/>
        </w:tabs>
        <w:spacing w:after="0" w:line="240" w:lineRule="auto"/>
        <w:jc w:val="both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Otros ingredientes declarados en etiqueta:</w:t>
      </w:r>
    </w:p>
    <w:p w14:paraId="00000025" w14:textId="77777777" w:rsidR="001F681D" w:rsidRDefault="001F681D">
      <w:pPr>
        <w:tabs>
          <w:tab w:val="left" w:pos="284"/>
        </w:tabs>
        <w:spacing w:after="0" w:line="240" w:lineRule="auto"/>
        <w:jc w:val="both"/>
        <w:rPr>
          <w:rFonts w:ascii="Verdana" w:eastAsia="Verdana" w:hAnsi="Verdana" w:cs="Verdana"/>
          <w:b/>
          <w:sz w:val="20"/>
          <w:szCs w:val="20"/>
        </w:rPr>
      </w:pPr>
    </w:p>
    <w:p w14:paraId="00000026" w14:textId="77777777" w:rsidR="001F681D" w:rsidRDefault="006E7110">
      <w:pPr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Gluten</w:t>
      </w:r>
    </w:p>
    <w:p w14:paraId="00000027" w14:textId="77777777" w:rsidR="001F681D" w:rsidRDefault="006E7110">
      <w:pPr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Sulfitos</w:t>
      </w:r>
    </w:p>
    <w:p w14:paraId="00000028" w14:textId="77777777" w:rsidR="001F681D" w:rsidRDefault="006E7110">
      <w:pPr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Leche </w:t>
      </w:r>
    </w:p>
    <w:p w14:paraId="00000029" w14:textId="77777777" w:rsidR="001F681D" w:rsidRDefault="006E7110">
      <w:pPr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Derivados de soya </w:t>
      </w:r>
    </w:p>
    <w:p w14:paraId="0000002A" w14:textId="77777777" w:rsidR="001F681D" w:rsidRDefault="006E7110">
      <w:pPr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Ajonjolí </w:t>
      </w:r>
    </w:p>
    <w:p w14:paraId="0000002B" w14:textId="77777777" w:rsidR="001F681D" w:rsidRDefault="001F681D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567" w:hanging="425"/>
        <w:jc w:val="both"/>
        <w:rPr>
          <w:rFonts w:ascii="Verdana" w:eastAsia="Verdana" w:hAnsi="Verdana" w:cs="Verdana"/>
          <w:color w:val="000000"/>
          <w:sz w:val="20"/>
          <w:szCs w:val="20"/>
          <w:highlight w:val="white"/>
        </w:rPr>
      </w:pPr>
    </w:p>
    <w:p w14:paraId="0000002C" w14:textId="77777777" w:rsidR="001F681D" w:rsidRDefault="001F681D">
      <w:pPr>
        <w:tabs>
          <w:tab w:val="left" w:pos="284"/>
        </w:tabs>
        <w:spacing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</w:p>
    <w:p w14:paraId="0000002D" w14:textId="77777777" w:rsidR="001F681D" w:rsidRDefault="006E7110">
      <w:pPr>
        <w:tabs>
          <w:tab w:val="left" w:pos="-5"/>
        </w:tabs>
        <w:spacing w:after="0" w:line="240" w:lineRule="auto"/>
        <w:jc w:val="both"/>
        <w:rPr>
          <w:rFonts w:ascii="Verdana" w:eastAsia="Verdana" w:hAnsi="Verdana" w:cs="Verdana"/>
          <w:b/>
          <w:sz w:val="20"/>
          <w:szCs w:val="20"/>
          <w:highlight w:val="white"/>
        </w:rPr>
      </w:pPr>
      <w:r>
        <w:rPr>
          <w:rFonts w:ascii="Verdana" w:eastAsia="Verdana" w:hAnsi="Verdana" w:cs="Verdana"/>
          <w:b/>
          <w:sz w:val="20"/>
          <w:szCs w:val="20"/>
          <w:highlight w:val="white"/>
        </w:rPr>
        <w:t xml:space="preserve">Nutrientes críticos en las </w:t>
      </w:r>
      <w:r>
        <w:rPr>
          <w:rFonts w:ascii="Verdana" w:eastAsia="Verdana" w:hAnsi="Verdana" w:cs="Verdana"/>
          <w:b/>
          <w:sz w:val="20"/>
          <w:szCs w:val="20"/>
        </w:rPr>
        <w:t xml:space="preserve">Galletas </w:t>
      </w:r>
      <w:proofErr w:type="spellStart"/>
      <w:r>
        <w:rPr>
          <w:rFonts w:ascii="Verdana" w:eastAsia="Verdana" w:hAnsi="Verdana" w:cs="Verdana"/>
          <w:b/>
          <w:sz w:val="20"/>
          <w:szCs w:val="20"/>
        </w:rPr>
        <w:t>Galletas</w:t>
      </w:r>
      <w:proofErr w:type="spellEnd"/>
      <w:r>
        <w:rPr>
          <w:rFonts w:ascii="Verdana" w:eastAsia="Verdana" w:hAnsi="Verdana" w:cs="Verdana"/>
          <w:b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b/>
          <w:sz w:val="20"/>
          <w:szCs w:val="20"/>
        </w:rPr>
        <w:t>Saltín</w:t>
      </w:r>
      <w:proofErr w:type="spellEnd"/>
      <w:r>
        <w:rPr>
          <w:rFonts w:ascii="Verdana" w:eastAsia="Verdana" w:hAnsi="Verdana" w:cs="Verdana"/>
          <w:b/>
          <w:sz w:val="20"/>
          <w:szCs w:val="20"/>
        </w:rPr>
        <w:t xml:space="preserve"> Doré</w:t>
      </w:r>
      <w:r>
        <w:rPr>
          <w:rFonts w:ascii="Verdana" w:eastAsia="Verdana" w:hAnsi="Verdana" w:cs="Verdana"/>
          <w:b/>
          <w:sz w:val="20"/>
          <w:szCs w:val="20"/>
          <w:highlight w:val="white"/>
        </w:rPr>
        <w:t>:</w:t>
      </w:r>
    </w:p>
    <w:p w14:paraId="0000002E" w14:textId="77777777" w:rsidR="001F681D" w:rsidRDefault="001F681D">
      <w:pPr>
        <w:spacing w:after="0" w:line="240" w:lineRule="auto"/>
        <w:jc w:val="both"/>
        <w:rPr>
          <w:rFonts w:ascii="Verdana" w:eastAsia="Verdana" w:hAnsi="Verdana" w:cs="Verdana"/>
          <w:sz w:val="20"/>
          <w:szCs w:val="20"/>
          <w:u w:val="single"/>
        </w:rPr>
      </w:pPr>
    </w:p>
    <w:p w14:paraId="0000002F" w14:textId="77777777" w:rsidR="001F681D" w:rsidRDefault="006E7110">
      <w:pPr>
        <w:spacing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Cada porción de 30 gramos (4 galletas) aportan un total de 140 Calorías.</w:t>
      </w:r>
    </w:p>
    <w:p w14:paraId="00000030" w14:textId="77777777" w:rsidR="001F681D" w:rsidRDefault="001F681D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284"/>
        <w:jc w:val="both"/>
        <w:rPr>
          <w:rFonts w:ascii="Verdana" w:eastAsia="Verdana" w:hAnsi="Verdana" w:cs="Verdana"/>
          <w:b/>
          <w:sz w:val="20"/>
          <w:szCs w:val="20"/>
          <w:highlight w:val="white"/>
        </w:rPr>
      </w:pPr>
    </w:p>
    <w:p w14:paraId="00000031" w14:textId="77777777" w:rsidR="001F681D" w:rsidRDefault="001F681D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284"/>
        <w:jc w:val="both"/>
        <w:rPr>
          <w:rFonts w:ascii="Verdana" w:eastAsia="Verdana" w:hAnsi="Verdana" w:cs="Verdana"/>
          <w:b/>
          <w:sz w:val="20"/>
          <w:szCs w:val="20"/>
          <w:highlight w:val="white"/>
        </w:rPr>
      </w:pPr>
    </w:p>
    <w:p w14:paraId="00000032" w14:textId="77777777" w:rsidR="001F681D" w:rsidRDefault="006E711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i/>
          <w:sz w:val="20"/>
          <w:szCs w:val="20"/>
          <w:u w:val="single"/>
        </w:rPr>
        <w:t>Sodio</w:t>
      </w:r>
      <w:r>
        <w:rPr>
          <w:rFonts w:ascii="Verdana" w:eastAsia="Verdana" w:hAnsi="Verdana" w:cs="Verdana"/>
          <w:sz w:val="20"/>
          <w:szCs w:val="20"/>
          <w:vertAlign w:val="superscript"/>
        </w:rPr>
        <w:footnoteReference w:id="1"/>
      </w:r>
      <w:r>
        <w:rPr>
          <w:rFonts w:ascii="Verdana" w:eastAsia="Verdana" w:hAnsi="Verdana" w:cs="Verdana"/>
          <w:sz w:val="20"/>
          <w:szCs w:val="20"/>
        </w:rPr>
        <w:t>: según los criterios de la Organización Panamericana de la Salud (OPS), este producto excede la cantidad de sodio recomendada. El producto aporta 190 miligramos (mg) de sodio frente a las 140 calorías, por lo que excede la cantidad recomendada de sodio en</w:t>
      </w:r>
      <w:r>
        <w:rPr>
          <w:rFonts w:ascii="Verdana" w:eastAsia="Verdana" w:hAnsi="Verdana" w:cs="Verdana"/>
          <w:sz w:val="20"/>
          <w:szCs w:val="20"/>
        </w:rPr>
        <w:t xml:space="preserve"> 50 mg.</w:t>
      </w:r>
    </w:p>
    <w:p w14:paraId="00000033" w14:textId="77777777" w:rsidR="001F681D" w:rsidRDefault="001F681D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</w:p>
    <w:p w14:paraId="00000034" w14:textId="77777777" w:rsidR="001F681D" w:rsidRDefault="006E7110">
      <w:pPr>
        <w:numPr>
          <w:ilvl w:val="0"/>
          <w:numId w:val="2"/>
        </w:numPr>
        <w:spacing w:after="0" w:line="240" w:lineRule="auto"/>
        <w:ind w:left="709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i/>
          <w:sz w:val="20"/>
          <w:szCs w:val="20"/>
          <w:highlight w:val="white"/>
          <w:u w:val="single"/>
        </w:rPr>
        <w:t>Grasa saturada</w:t>
      </w:r>
      <w:r>
        <w:rPr>
          <w:rFonts w:ascii="Verdana" w:eastAsia="Verdana" w:hAnsi="Verdana" w:cs="Verdana"/>
          <w:sz w:val="20"/>
          <w:szCs w:val="20"/>
          <w:highlight w:val="white"/>
          <w:vertAlign w:val="superscript"/>
        </w:rPr>
        <w:footnoteReference w:id="2"/>
      </w:r>
      <w:r>
        <w:rPr>
          <w:rFonts w:ascii="Verdana" w:eastAsia="Verdana" w:hAnsi="Verdana" w:cs="Verdana"/>
          <w:sz w:val="20"/>
          <w:szCs w:val="20"/>
          <w:highlight w:val="white"/>
        </w:rPr>
        <w:t xml:space="preserve">: </w:t>
      </w:r>
      <w:r>
        <w:rPr>
          <w:rFonts w:ascii="Verdana" w:eastAsia="Verdana" w:hAnsi="Verdana" w:cs="Verdana"/>
          <w:sz w:val="20"/>
          <w:szCs w:val="20"/>
        </w:rPr>
        <w:t>según los criterios de la Organización Panamericana de la Salud (OPS), este producto contiene casi el doble de la cantidad de grasa saturada recomendada, el 16% de las calorías totales del producto. De las 140 calorías totales del producto, 23 son aportado</w:t>
      </w:r>
      <w:r>
        <w:rPr>
          <w:rFonts w:ascii="Verdana" w:eastAsia="Verdana" w:hAnsi="Verdana" w:cs="Verdana"/>
          <w:sz w:val="20"/>
          <w:szCs w:val="20"/>
        </w:rPr>
        <w:t xml:space="preserve">s por 2.5 gramos de grasa saturada.  </w:t>
      </w:r>
    </w:p>
    <w:p w14:paraId="00000035" w14:textId="77777777" w:rsidR="001F681D" w:rsidRDefault="001F68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color w:val="000000"/>
          <w:sz w:val="20"/>
          <w:szCs w:val="20"/>
          <w:highlight w:val="white"/>
        </w:rPr>
      </w:pPr>
    </w:p>
    <w:p w14:paraId="00000036" w14:textId="77777777" w:rsidR="001F681D" w:rsidRDefault="006E71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436"/>
        <w:jc w:val="both"/>
        <w:rPr>
          <w:rFonts w:ascii="Verdana" w:eastAsia="Verdana" w:hAnsi="Verdana" w:cs="Verdana"/>
          <w:b/>
          <w:color w:val="000000"/>
          <w:sz w:val="20"/>
          <w:szCs w:val="20"/>
          <w:u w:val="single"/>
        </w:rPr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>Aditivos que contiene este producto</w:t>
      </w:r>
      <w:r>
        <w:rPr>
          <w:rFonts w:ascii="Verdana" w:eastAsia="Verdana" w:hAnsi="Verdana" w:cs="Verdana"/>
          <w:b/>
          <w:color w:val="000000"/>
          <w:sz w:val="20"/>
          <w:szCs w:val="20"/>
          <w:u w:val="single"/>
        </w:rPr>
        <w:t xml:space="preserve">: </w:t>
      </w:r>
    </w:p>
    <w:p w14:paraId="00000037" w14:textId="77777777" w:rsidR="001F681D" w:rsidRDefault="001F68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436"/>
        <w:jc w:val="both"/>
        <w:rPr>
          <w:rFonts w:ascii="Verdana" w:eastAsia="Verdana" w:hAnsi="Verdana" w:cs="Verdana"/>
          <w:b/>
          <w:sz w:val="20"/>
          <w:szCs w:val="20"/>
          <w:highlight w:val="white"/>
          <w:u w:val="single"/>
        </w:rPr>
      </w:pPr>
    </w:p>
    <w:p w14:paraId="00000038" w14:textId="77777777" w:rsidR="001F681D" w:rsidRDefault="006E711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color w:val="000000"/>
          <w:sz w:val="20"/>
          <w:szCs w:val="20"/>
          <w:highlight w:val="white"/>
        </w:rPr>
      </w:pPr>
      <w:r>
        <w:rPr>
          <w:rFonts w:ascii="Verdana" w:eastAsia="Verdana" w:hAnsi="Verdana" w:cs="Verdana"/>
          <w:color w:val="000000"/>
          <w:sz w:val="20"/>
          <w:szCs w:val="20"/>
          <w:highlight w:val="white"/>
        </w:rPr>
        <w:t>Bicarbonato de amonio (E-503ii): usado como leudante (5).</w:t>
      </w:r>
    </w:p>
    <w:p w14:paraId="00000039" w14:textId="77777777" w:rsidR="001F681D" w:rsidRDefault="006E711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color w:val="000000"/>
          <w:sz w:val="20"/>
          <w:szCs w:val="20"/>
          <w:highlight w:val="white"/>
        </w:rPr>
      </w:pPr>
      <w:r>
        <w:rPr>
          <w:rFonts w:ascii="Verdana" w:eastAsia="Verdana" w:hAnsi="Verdana" w:cs="Verdana"/>
          <w:color w:val="000000"/>
          <w:sz w:val="20"/>
          <w:szCs w:val="20"/>
          <w:highlight w:val="white"/>
        </w:rPr>
        <w:t>Bicarbonato de sodio (E-500ii): usado como regulador de acidez (5).</w:t>
      </w:r>
    </w:p>
    <w:p w14:paraId="0000003A" w14:textId="77777777" w:rsidR="001F681D" w:rsidRDefault="006E711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sz w:val="20"/>
          <w:szCs w:val="20"/>
          <w:highlight w:val="white"/>
        </w:rPr>
      </w:pPr>
      <w:r>
        <w:rPr>
          <w:rFonts w:ascii="Verdana" w:eastAsia="Verdana" w:hAnsi="Verdana" w:cs="Verdana"/>
          <w:sz w:val="20"/>
          <w:szCs w:val="20"/>
          <w:highlight w:val="white"/>
        </w:rPr>
        <w:t xml:space="preserve">Fosfato </w:t>
      </w:r>
      <w:proofErr w:type="spellStart"/>
      <w:r>
        <w:rPr>
          <w:rFonts w:ascii="Verdana" w:eastAsia="Verdana" w:hAnsi="Verdana" w:cs="Verdana"/>
          <w:sz w:val="20"/>
          <w:szCs w:val="20"/>
          <w:highlight w:val="white"/>
        </w:rPr>
        <w:t>monocálcico</w:t>
      </w:r>
      <w:proofErr w:type="spellEnd"/>
      <w:r>
        <w:rPr>
          <w:rFonts w:ascii="Verdana" w:eastAsia="Verdana" w:hAnsi="Verdana" w:cs="Verdana"/>
          <w:sz w:val="20"/>
          <w:szCs w:val="20"/>
          <w:highlight w:val="white"/>
        </w:rPr>
        <w:t xml:space="preserve"> (E-341i): Usado como leudante.</w:t>
      </w:r>
    </w:p>
    <w:p w14:paraId="0000003B" w14:textId="77777777" w:rsidR="001F681D" w:rsidRDefault="006E711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sz w:val="20"/>
          <w:szCs w:val="20"/>
          <w:highlight w:val="white"/>
        </w:rPr>
      </w:pPr>
      <w:r>
        <w:rPr>
          <w:rFonts w:ascii="Verdana" w:eastAsia="Verdana" w:hAnsi="Verdana" w:cs="Verdana"/>
          <w:sz w:val="20"/>
          <w:szCs w:val="20"/>
          <w:highlight w:val="white"/>
        </w:rPr>
        <w:t>Cloruro de potasio (E-508): Usado como acentuador de sabor (5).</w:t>
      </w:r>
    </w:p>
    <w:p w14:paraId="0000003C" w14:textId="77777777" w:rsidR="001F681D" w:rsidRDefault="006E711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sz w:val="20"/>
          <w:szCs w:val="20"/>
          <w:highlight w:val="white"/>
        </w:rPr>
      </w:pPr>
      <w:r>
        <w:rPr>
          <w:rFonts w:ascii="Verdana" w:eastAsia="Verdana" w:hAnsi="Verdana" w:cs="Verdana"/>
          <w:color w:val="000000"/>
          <w:sz w:val="20"/>
          <w:szCs w:val="20"/>
          <w:highlight w:val="white"/>
        </w:rPr>
        <w:t xml:space="preserve">Lecitina de </w:t>
      </w:r>
      <w:r>
        <w:rPr>
          <w:rFonts w:ascii="Verdana" w:eastAsia="Verdana" w:hAnsi="Verdana" w:cs="Verdana"/>
          <w:sz w:val="20"/>
          <w:szCs w:val="20"/>
          <w:highlight w:val="white"/>
        </w:rPr>
        <w:t>soja</w:t>
      </w:r>
      <w:r>
        <w:rPr>
          <w:rFonts w:ascii="Verdana" w:eastAsia="Verdana" w:hAnsi="Verdana" w:cs="Verdana"/>
          <w:color w:val="000000"/>
          <w:sz w:val="20"/>
          <w:szCs w:val="20"/>
          <w:highlight w:val="white"/>
        </w:rPr>
        <w:t xml:space="preserve"> (E-322): </w:t>
      </w:r>
      <w:r>
        <w:rPr>
          <w:rFonts w:ascii="Verdana" w:eastAsia="Verdana" w:hAnsi="Verdana" w:cs="Verdana"/>
          <w:sz w:val="20"/>
          <w:szCs w:val="20"/>
          <w:highlight w:val="white"/>
        </w:rPr>
        <w:t xml:space="preserve">Es uno de los aditivos con altos contenidos de glutamato </w:t>
      </w:r>
      <w:proofErr w:type="spellStart"/>
      <w:r>
        <w:rPr>
          <w:rFonts w:ascii="Verdana" w:eastAsia="Verdana" w:hAnsi="Verdana" w:cs="Verdana"/>
          <w:sz w:val="20"/>
          <w:szCs w:val="20"/>
          <w:highlight w:val="white"/>
        </w:rPr>
        <w:t>monosódico</w:t>
      </w:r>
      <w:proofErr w:type="spellEnd"/>
      <w:r>
        <w:rPr>
          <w:rFonts w:ascii="Verdana" w:eastAsia="Verdana" w:hAnsi="Verdana" w:cs="Verdana"/>
          <w:sz w:val="20"/>
          <w:szCs w:val="20"/>
          <w:highlight w:val="white"/>
        </w:rPr>
        <w:t xml:space="preserve">, razón por la cual actúa como mejorador de sabor. De tal forma, que sus efectos nocivos se atribuyen a éste último, mareos, eccema, </w:t>
      </w:r>
      <w:proofErr w:type="spellStart"/>
      <w:r>
        <w:rPr>
          <w:rFonts w:ascii="Verdana" w:eastAsia="Verdana" w:hAnsi="Verdana" w:cs="Verdana"/>
          <w:sz w:val="20"/>
          <w:szCs w:val="20"/>
          <w:highlight w:val="white"/>
        </w:rPr>
        <w:t>pseudo</w:t>
      </w:r>
      <w:proofErr w:type="spellEnd"/>
      <w:r>
        <w:rPr>
          <w:rFonts w:ascii="Verdana" w:eastAsia="Verdana" w:hAnsi="Verdana" w:cs="Verdana"/>
          <w:sz w:val="20"/>
          <w:szCs w:val="20"/>
          <w:highlight w:val="white"/>
        </w:rPr>
        <w:t xml:space="preserve"> adicción al producto, obesidad, entre otros (6). </w:t>
      </w:r>
      <w:r>
        <w:rPr>
          <w:rFonts w:ascii="Verdana" w:eastAsia="Verdana" w:hAnsi="Verdana" w:cs="Verdana"/>
          <w:sz w:val="20"/>
          <w:szCs w:val="20"/>
          <w:highlight w:val="white"/>
          <w:u w:val="single"/>
        </w:rPr>
        <w:t>Este aditivo tiene potencial efecto nocivo para la salud.</w:t>
      </w:r>
    </w:p>
    <w:p w14:paraId="0000003D" w14:textId="77777777" w:rsidR="001F681D" w:rsidRDefault="006E711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sz w:val="20"/>
          <w:szCs w:val="20"/>
          <w:highlight w:val="white"/>
        </w:rPr>
      </w:pPr>
      <w:r>
        <w:rPr>
          <w:rFonts w:ascii="Verdana" w:eastAsia="Verdana" w:hAnsi="Verdana" w:cs="Verdana"/>
          <w:sz w:val="20"/>
          <w:szCs w:val="20"/>
          <w:highlight w:val="white"/>
        </w:rPr>
        <w:t>Ésteres</w:t>
      </w:r>
      <w:r>
        <w:rPr>
          <w:rFonts w:ascii="Verdana" w:eastAsia="Verdana" w:hAnsi="Verdana" w:cs="Verdana"/>
          <w:color w:val="000000"/>
          <w:sz w:val="20"/>
          <w:szCs w:val="20"/>
          <w:highlight w:val="white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  <w:highlight w:val="white"/>
        </w:rPr>
        <w:t>Diacetiltartáricos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  <w:highlight w:val="white"/>
        </w:rPr>
        <w:t xml:space="preserve"> y de ácidos grasos de glicerol (E-472e): se usa como emulsionante y antioxidante (5).</w:t>
      </w:r>
    </w:p>
    <w:p w14:paraId="0000003E" w14:textId="77777777" w:rsidR="001F681D" w:rsidRDefault="006E711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sz w:val="20"/>
          <w:szCs w:val="20"/>
          <w:highlight w:val="white"/>
        </w:rPr>
      </w:pPr>
      <w:r>
        <w:rPr>
          <w:rFonts w:ascii="Verdana" w:eastAsia="Verdana" w:hAnsi="Verdana" w:cs="Verdana"/>
          <w:sz w:val="20"/>
          <w:szCs w:val="20"/>
          <w:highlight w:val="white"/>
        </w:rPr>
        <w:t xml:space="preserve">Ésteres de ácidos grasos de glicerol: usado como </w:t>
      </w:r>
      <w:proofErr w:type="spellStart"/>
      <w:r>
        <w:rPr>
          <w:rFonts w:ascii="Verdana" w:eastAsia="Verdana" w:hAnsi="Verdana" w:cs="Verdana"/>
          <w:sz w:val="20"/>
          <w:szCs w:val="20"/>
          <w:highlight w:val="white"/>
        </w:rPr>
        <w:t>emulsificante</w:t>
      </w:r>
      <w:proofErr w:type="spellEnd"/>
      <w:r>
        <w:rPr>
          <w:rFonts w:ascii="Verdana" w:eastAsia="Verdana" w:hAnsi="Verdana" w:cs="Verdana"/>
          <w:sz w:val="20"/>
          <w:szCs w:val="20"/>
          <w:highlight w:val="white"/>
        </w:rPr>
        <w:t xml:space="preserve"> (5).</w:t>
      </w:r>
    </w:p>
    <w:p w14:paraId="0000003F" w14:textId="77777777" w:rsidR="001F681D" w:rsidRDefault="006E711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sz w:val="20"/>
          <w:szCs w:val="20"/>
          <w:highlight w:val="white"/>
        </w:rPr>
      </w:pPr>
      <w:r>
        <w:rPr>
          <w:rFonts w:ascii="Verdana" w:eastAsia="Verdana" w:hAnsi="Verdana" w:cs="Verdana"/>
          <w:color w:val="000000"/>
          <w:sz w:val="20"/>
          <w:szCs w:val="20"/>
          <w:highlight w:val="white"/>
        </w:rPr>
        <w:t xml:space="preserve">Aroma Idéntico al natural: no indica el nombre del aditivo que se utiliza para tal fin, pero los más usados en la industria son el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  <w:highlight w:val="white"/>
        </w:rPr>
        <w:t>diacetilo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  <w:highlight w:val="white"/>
        </w:rPr>
        <w:t xml:space="preserve"> y la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  <w:highlight w:val="white"/>
        </w:rPr>
        <w:t>acetoína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  <w:highlight w:val="white"/>
        </w:rPr>
        <w:t xml:space="preserve">. En altas cantidades se ha encontrado que el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  <w:highlight w:val="white"/>
        </w:rPr>
        <w:t>diacetilo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  <w:highlight w:val="white"/>
        </w:rPr>
        <w:t xml:space="preserve"> puede causar depresión del sistema nervioso ce</w:t>
      </w:r>
      <w:r>
        <w:rPr>
          <w:rFonts w:ascii="Verdana" w:eastAsia="Verdana" w:hAnsi="Verdana" w:cs="Verdana"/>
          <w:color w:val="000000"/>
          <w:sz w:val="20"/>
          <w:szCs w:val="20"/>
          <w:highlight w:val="white"/>
        </w:rPr>
        <w:t>ntral y se han observado casos de bronquiolitis obliterante en trabajadores de las empresas que usan este aromatizante (</w:t>
      </w:r>
      <w:r>
        <w:rPr>
          <w:rFonts w:ascii="Verdana" w:eastAsia="Verdana" w:hAnsi="Verdana" w:cs="Verdana"/>
          <w:sz w:val="20"/>
          <w:szCs w:val="20"/>
          <w:highlight w:val="white"/>
        </w:rPr>
        <w:t>7</w:t>
      </w:r>
      <w:r>
        <w:rPr>
          <w:rFonts w:ascii="Verdana" w:eastAsia="Verdana" w:hAnsi="Verdana" w:cs="Verdana"/>
          <w:color w:val="000000"/>
          <w:sz w:val="20"/>
          <w:szCs w:val="20"/>
          <w:highlight w:val="white"/>
        </w:rPr>
        <w:t xml:space="preserve">). </w:t>
      </w:r>
      <w:r>
        <w:rPr>
          <w:rFonts w:ascii="Verdana" w:eastAsia="Verdana" w:hAnsi="Verdana" w:cs="Verdana"/>
          <w:sz w:val="20"/>
          <w:szCs w:val="20"/>
          <w:highlight w:val="white"/>
          <w:u w:val="single"/>
        </w:rPr>
        <w:t>Este aditivo tiene potencial efecto nocivo para la salud.</w:t>
      </w:r>
    </w:p>
    <w:p w14:paraId="00000040" w14:textId="77777777" w:rsidR="001F681D" w:rsidRDefault="006E711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sz w:val="20"/>
          <w:szCs w:val="20"/>
          <w:highlight w:val="white"/>
        </w:rPr>
      </w:pPr>
      <w:proofErr w:type="spellStart"/>
      <w:r>
        <w:rPr>
          <w:rFonts w:ascii="Verdana" w:eastAsia="Verdana" w:hAnsi="Verdana" w:cs="Verdana"/>
          <w:sz w:val="20"/>
          <w:szCs w:val="20"/>
          <w:highlight w:val="white"/>
        </w:rPr>
        <w:t>D</w:t>
      </w:r>
      <w:r>
        <w:rPr>
          <w:rFonts w:ascii="Verdana" w:eastAsia="Verdana" w:hAnsi="Verdana" w:cs="Verdana"/>
          <w:color w:val="000000"/>
          <w:sz w:val="20"/>
          <w:szCs w:val="20"/>
          <w:highlight w:val="white"/>
        </w:rPr>
        <w:t>isulfito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  <w:highlight w:val="white"/>
        </w:rPr>
        <w:t xml:space="preserve"> de Sodio (E-222): usado como conservante sintético (5).</w:t>
      </w:r>
    </w:p>
    <w:p w14:paraId="00000041" w14:textId="77777777" w:rsidR="001F681D" w:rsidRDefault="006E711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color w:val="000000"/>
          <w:sz w:val="20"/>
          <w:szCs w:val="20"/>
          <w:highlight w:val="white"/>
        </w:rPr>
      </w:pPr>
      <w:r>
        <w:rPr>
          <w:rFonts w:ascii="Verdana" w:eastAsia="Verdana" w:hAnsi="Verdana" w:cs="Verdana"/>
          <w:color w:val="000000"/>
          <w:sz w:val="20"/>
          <w:szCs w:val="20"/>
          <w:highlight w:val="white"/>
        </w:rPr>
        <w:t>Glutamat</w:t>
      </w:r>
      <w:r>
        <w:rPr>
          <w:rFonts w:ascii="Verdana" w:eastAsia="Verdana" w:hAnsi="Verdana" w:cs="Verdana"/>
          <w:color w:val="000000"/>
          <w:sz w:val="20"/>
          <w:szCs w:val="20"/>
          <w:highlight w:val="white"/>
        </w:rPr>
        <w:t xml:space="preserve">o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  <w:highlight w:val="white"/>
        </w:rPr>
        <w:t>Monosódico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  <w:highlight w:val="white"/>
        </w:rPr>
        <w:t xml:space="preserve"> (E-621): </w:t>
      </w:r>
      <w:r>
        <w:rPr>
          <w:rFonts w:ascii="Verdana" w:eastAsia="Verdana" w:hAnsi="Verdana" w:cs="Verdana"/>
          <w:sz w:val="20"/>
          <w:szCs w:val="20"/>
          <w:highlight w:val="white"/>
        </w:rPr>
        <w:t xml:space="preserve">Usado como realzador de sabor. Varios estudios tanto en humanos como animales han encontrado una asociación de este aditivo con obesidad, diabetes, </w:t>
      </w:r>
      <w:proofErr w:type="spellStart"/>
      <w:r>
        <w:rPr>
          <w:rFonts w:ascii="Verdana" w:eastAsia="Verdana" w:hAnsi="Verdana" w:cs="Verdana"/>
          <w:sz w:val="20"/>
          <w:szCs w:val="20"/>
          <w:highlight w:val="white"/>
        </w:rPr>
        <w:t>hepatotoxicidad</w:t>
      </w:r>
      <w:proofErr w:type="spellEnd"/>
      <w:r>
        <w:rPr>
          <w:rFonts w:ascii="Verdana" w:eastAsia="Verdana" w:hAnsi="Verdana" w:cs="Verdana"/>
          <w:sz w:val="20"/>
          <w:szCs w:val="20"/>
          <w:highlight w:val="white"/>
        </w:rPr>
        <w:t xml:space="preserve">, así como efectos neurotóxicos y </w:t>
      </w:r>
      <w:proofErr w:type="spellStart"/>
      <w:r>
        <w:rPr>
          <w:rFonts w:ascii="Verdana" w:eastAsia="Verdana" w:hAnsi="Verdana" w:cs="Verdana"/>
          <w:sz w:val="20"/>
          <w:szCs w:val="20"/>
          <w:highlight w:val="white"/>
        </w:rPr>
        <w:t>genotóxicos</w:t>
      </w:r>
      <w:proofErr w:type="spellEnd"/>
      <w:r>
        <w:rPr>
          <w:rFonts w:ascii="Verdana" w:eastAsia="Verdana" w:hAnsi="Verdana" w:cs="Verdana"/>
          <w:sz w:val="20"/>
          <w:szCs w:val="20"/>
          <w:highlight w:val="white"/>
        </w:rPr>
        <w:t xml:space="preserve"> (en linfocitos humanos) </w:t>
      </w:r>
      <w:r>
        <w:rPr>
          <w:rFonts w:ascii="Verdana" w:eastAsia="Verdana" w:hAnsi="Verdana" w:cs="Verdana"/>
          <w:color w:val="000000"/>
          <w:sz w:val="20"/>
          <w:szCs w:val="20"/>
          <w:highlight w:val="white"/>
        </w:rPr>
        <w:t>(</w:t>
      </w:r>
      <w:r>
        <w:rPr>
          <w:rFonts w:ascii="Verdana" w:eastAsia="Verdana" w:hAnsi="Verdana" w:cs="Verdana"/>
          <w:sz w:val="20"/>
          <w:szCs w:val="20"/>
          <w:highlight w:val="white"/>
        </w:rPr>
        <w:t>8,9</w:t>
      </w:r>
      <w:r>
        <w:rPr>
          <w:rFonts w:ascii="Verdana" w:eastAsia="Verdana" w:hAnsi="Verdana" w:cs="Verdana"/>
          <w:color w:val="000000"/>
          <w:sz w:val="20"/>
          <w:szCs w:val="20"/>
          <w:highlight w:val="white"/>
        </w:rPr>
        <w:t>).</w:t>
      </w:r>
    </w:p>
    <w:p w14:paraId="00000042" w14:textId="77777777" w:rsidR="001F681D" w:rsidRDefault="001F681D">
      <w:pPr>
        <w:spacing w:after="0" w:line="240" w:lineRule="auto"/>
        <w:jc w:val="both"/>
        <w:rPr>
          <w:rFonts w:ascii="Verdana" w:eastAsia="Verdana" w:hAnsi="Verdana" w:cs="Verdana"/>
          <w:b/>
          <w:i/>
          <w:sz w:val="20"/>
          <w:szCs w:val="20"/>
          <w:highlight w:val="white"/>
        </w:rPr>
      </w:pPr>
    </w:p>
    <w:p w14:paraId="00000043" w14:textId="77777777" w:rsidR="001F681D" w:rsidRDefault="006E7110">
      <w:pPr>
        <w:spacing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  <w:bookmarkStart w:id="2" w:name="_heading=h.30j0zll" w:colFirst="0" w:colLast="0"/>
      <w:bookmarkEnd w:id="2"/>
      <w:r>
        <w:rPr>
          <w:rFonts w:ascii="Verdana" w:eastAsia="Verdana" w:hAnsi="Verdana" w:cs="Verdana"/>
          <w:b/>
          <w:sz w:val="20"/>
          <w:szCs w:val="20"/>
          <w:highlight w:val="white"/>
        </w:rPr>
        <w:t xml:space="preserve">Recomendaciones finales: </w:t>
      </w:r>
      <w:r>
        <w:rPr>
          <w:rFonts w:ascii="Verdana" w:eastAsia="Verdana" w:hAnsi="Verdana" w:cs="Verdana"/>
          <w:sz w:val="20"/>
          <w:szCs w:val="20"/>
          <w:highlight w:val="white"/>
        </w:rPr>
        <w:t>Una buena alternativa a este producto pueden ser los alimentos de panadería artesanales que también pueden ser preparados en casa, de una manera más saludable y natural con ingredientes naturales y sin añadir aditivos poco s</w:t>
      </w:r>
      <w:r>
        <w:rPr>
          <w:rFonts w:ascii="Verdana" w:eastAsia="Verdana" w:hAnsi="Verdana" w:cs="Verdana"/>
          <w:sz w:val="20"/>
          <w:szCs w:val="20"/>
          <w:highlight w:val="white"/>
        </w:rPr>
        <w:t xml:space="preserve">aludables. </w:t>
      </w:r>
    </w:p>
    <w:p w14:paraId="00000044" w14:textId="77777777" w:rsidR="001F681D" w:rsidRDefault="001F681D">
      <w:pPr>
        <w:spacing w:line="240" w:lineRule="auto"/>
        <w:jc w:val="both"/>
        <w:rPr>
          <w:rFonts w:ascii="Verdana" w:eastAsia="Verdana" w:hAnsi="Verdana" w:cs="Verdana"/>
          <w:sz w:val="20"/>
          <w:szCs w:val="20"/>
          <w:highlight w:val="white"/>
        </w:rPr>
      </w:pPr>
    </w:p>
    <w:p w14:paraId="00000045" w14:textId="77777777" w:rsidR="001F681D" w:rsidRDefault="006E7110">
      <w:pPr>
        <w:spacing w:line="24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i/>
          <w:sz w:val="20"/>
          <w:szCs w:val="20"/>
        </w:rPr>
        <w:t xml:space="preserve">Nota: </w:t>
      </w:r>
      <w:r>
        <w:rPr>
          <w:rFonts w:ascii="Verdana" w:eastAsia="Verdana" w:hAnsi="Verdana" w:cs="Verdana"/>
          <w:sz w:val="20"/>
          <w:szCs w:val="20"/>
        </w:rPr>
        <w:t>Para más información consultar el documento “Anexo técnico radiografías”</w:t>
      </w:r>
    </w:p>
    <w:p w14:paraId="00000046" w14:textId="77777777" w:rsidR="001F681D" w:rsidRDefault="006E7110">
      <w:pPr>
        <w:spacing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Elaborado por: ND Paula Ardila, ND </w:t>
      </w:r>
      <w:proofErr w:type="spellStart"/>
      <w:r>
        <w:rPr>
          <w:rFonts w:ascii="Verdana" w:eastAsia="Verdana" w:hAnsi="Verdana" w:cs="Verdana"/>
          <w:sz w:val="20"/>
          <w:szCs w:val="20"/>
        </w:rPr>
        <w:t>Yessica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Gil</w:t>
      </w:r>
      <w:r>
        <w:rPr>
          <w:rFonts w:ascii="Verdana" w:eastAsia="Verdana" w:hAnsi="Verdana" w:cs="Verdana"/>
          <w:sz w:val="20"/>
          <w:szCs w:val="20"/>
          <w:vertAlign w:val="superscript"/>
        </w:rPr>
        <w:footnoteReference w:id="3"/>
      </w:r>
      <w:r>
        <w:rPr>
          <w:rFonts w:ascii="Verdana" w:eastAsia="Verdana" w:hAnsi="Verdana" w:cs="Verdana"/>
          <w:sz w:val="20"/>
          <w:szCs w:val="20"/>
        </w:rPr>
        <w:t xml:space="preserve">, ND </w:t>
      </w:r>
      <w:proofErr w:type="spellStart"/>
      <w:r>
        <w:rPr>
          <w:rFonts w:ascii="Verdana" w:eastAsia="Verdana" w:hAnsi="Verdana" w:cs="Verdana"/>
          <w:sz w:val="20"/>
          <w:szCs w:val="20"/>
        </w:rPr>
        <w:t>Kathleen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Forbes</w:t>
      </w:r>
      <w:r>
        <w:rPr>
          <w:rFonts w:ascii="Verdana" w:eastAsia="Verdana" w:hAnsi="Verdana" w:cs="Verdana"/>
          <w:sz w:val="20"/>
          <w:szCs w:val="20"/>
          <w:vertAlign w:val="superscript"/>
        </w:rPr>
        <w:t>4</w:t>
      </w:r>
      <w:r>
        <w:rPr>
          <w:rFonts w:ascii="Verdana" w:eastAsia="Verdana" w:hAnsi="Verdana" w:cs="Verdana"/>
          <w:sz w:val="20"/>
          <w:szCs w:val="20"/>
        </w:rPr>
        <w:t>, ND Daniela Tinoco</w:t>
      </w:r>
      <w:r>
        <w:rPr>
          <w:rFonts w:ascii="Verdana" w:eastAsia="Verdana" w:hAnsi="Verdana" w:cs="Verdana"/>
          <w:sz w:val="20"/>
          <w:szCs w:val="20"/>
          <w:vertAlign w:val="superscript"/>
        </w:rPr>
        <w:t>4</w:t>
      </w:r>
      <w:r>
        <w:rPr>
          <w:rFonts w:ascii="Verdana" w:eastAsia="Verdana" w:hAnsi="Verdana" w:cs="Verdana"/>
          <w:sz w:val="20"/>
          <w:szCs w:val="20"/>
        </w:rPr>
        <w:t xml:space="preserve">, ND </w:t>
      </w:r>
      <w:proofErr w:type="spellStart"/>
      <w:r>
        <w:rPr>
          <w:rFonts w:ascii="Verdana" w:eastAsia="Verdana" w:hAnsi="Verdana" w:cs="Verdana"/>
          <w:sz w:val="20"/>
          <w:szCs w:val="20"/>
        </w:rPr>
        <w:t>Fabian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Avellaneda</w:t>
      </w:r>
      <w:r>
        <w:rPr>
          <w:rFonts w:ascii="Verdana" w:eastAsia="Verdana" w:hAnsi="Verdana" w:cs="Verdana"/>
          <w:sz w:val="20"/>
          <w:szCs w:val="20"/>
          <w:vertAlign w:val="superscript"/>
        </w:rPr>
        <w:t>4</w:t>
      </w:r>
    </w:p>
    <w:p w14:paraId="00000047" w14:textId="77777777" w:rsidR="001F681D" w:rsidRDefault="006E7110">
      <w:pPr>
        <w:spacing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Revisó: ND Mercedes Mora Plazas, ND Rubén Orjuela, MSP Sharon Sánchez</w:t>
      </w:r>
    </w:p>
    <w:p w14:paraId="00000048" w14:textId="77777777" w:rsidR="001F681D" w:rsidRDefault="001F681D">
      <w:pPr>
        <w:spacing w:line="240" w:lineRule="auto"/>
        <w:jc w:val="both"/>
        <w:rPr>
          <w:rFonts w:ascii="Verdana" w:eastAsia="Verdana" w:hAnsi="Verdana" w:cs="Verdana"/>
          <w:sz w:val="20"/>
          <w:szCs w:val="20"/>
        </w:rPr>
      </w:pPr>
    </w:p>
    <w:p w14:paraId="00000049" w14:textId="77777777" w:rsidR="001F681D" w:rsidRDefault="001F681D">
      <w:pPr>
        <w:spacing w:after="0" w:line="240" w:lineRule="auto"/>
        <w:jc w:val="both"/>
        <w:rPr>
          <w:rFonts w:ascii="Verdana" w:eastAsia="Verdana" w:hAnsi="Verdana" w:cs="Verdana"/>
          <w:b/>
          <w:sz w:val="20"/>
          <w:szCs w:val="20"/>
        </w:rPr>
      </w:pPr>
    </w:p>
    <w:p w14:paraId="0000004A" w14:textId="77777777" w:rsidR="001F681D" w:rsidRDefault="006E7110">
      <w:pPr>
        <w:spacing w:after="0" w:line="240" w:lineRule="auto"/>
        <w:ind w:left="284"/>
        <w:jc w:val="both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Bibliografía</w:t>
      </w:r>
    </w:p>
    <w:p w14:paraId="0000004B" w14:textId="77777777" w:rsidR="001F681D" w:rsidRDefault="001F681D">
      <w:pPr>
        <w:spacing w:after="0" w:line="240" w:lineRule="auto"/>
        <w:jc w:val="both"/>
        <w:rPr>
          <w:rFonts w:ascii="Verdana" w:eastAsia="Verdana" w:hAnsi="Verdana" w:cs="Verdana"/>
          <w:b/>
          <w:sz w:val="20"/>
          <w:szCs w:val="20"/>
        </w:rPr>
      </w:pPr>
    </w:p>
    <w:p w14:paraId="0000004C" w14:textId="77777777" w:rsidR="001F681D" w:rsidRDefault="006E7110">
      <w:pPr>
        <w:widowControl w:val="0"/>
        <w:numPr>
          <w:ilvl w:val="0"/>
          <w:numId w:val="8"/>
        </w:numPr>
        <w:spacing w:after="200" w:line="24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Organización Panamericana de la Salud. (2016). Modelo de perfil de nutrientes de la Organización Panamericana de la Salud. </w:t>
      </w:r>
      <w:proofErr w:type="spellStart"/>
      <w:r>
        <w:rPr>
          <w:rFonts w:ascii="Verdana" w:eastAsia="Verdana" w:hAnsi="Verdana" w:cs="Verdana"/>
          <w:sz w:val="20"/>
          <w:szCs w:val="20"/>
        </w:rPr>
        <w:t>Available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from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: </w:t>
      </w:r>
      <w:hyperlink r:id="rId8">
        <w:r>
          <w:rPr>
            <w:rFonts w:ascii="Verdana" w:eastAsia="Verdana" w:hAnsi="Verdana" w:cs="Verdana"/>
            <w:color w:val="1155CC"/>
            <w:sz w:val="20"/>
            <w:szCs w:val="20"/>
            <w:u w:val="single"/>
          </w:rPr>
          <w:t>www.paho.org/permissions</w:t>
        </w:r>
      </w:hyperlink>
    </w:p>
    <w:p w14:paraId="0000004D" w14:textId="77777777" w:rsidR="001F681D" w:rsidRDefault="006E7110">
      <w:pPr>
        <w:widowControl w:val="0"/>
        <w:numPr>
          <w:ilvl w:val="0"/>
          <w:numId w:val="8"/>
        </w:numPr>
        <w:spacing w:after="200" w:line="240" w:lineRule="auto"/>
        <w:jc w:val="both"/>
        <w:rPr>
          <w:rFonts w:ascii="Verdana" w:eastAsia="Verdana" w:hAnsi="Verdana" w:cs="Verdana"/>
          <w:sz w:val="20"/>
          <w:szCs w:val="20"/>
        </w:rPr>
      </w:pPr>
      <w:proofErr w:type="spellStart"/>
      <w:r>
        <w:rPr>
          <w:rFonts w:ascii="Verdana" w:eastAsia="Verdana" w:hAnsi="Verdana" w:cs="Verdana"/>
          <w:sz w:val="20"/>
          <w:szCs w:val="20"/>
        </w:rPr>
        <w:t>Chaib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, R., &amp; </w:t>
      </w:r>
      <w:proofErr w:type="spellStart"/>
      <w:r>
        <w:rPr>
          <w:rFonts w:ascii="Verdana" w:eastAsia="Verdana" w:hAnsi="Verdana" w:cs="Verdana"/>
          <w:sz w:val="20"/>
          <w:szCs w:val="20"/>
        </w:rPr>
        <w:t>Barone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, M. (2020). Uses of </w:t>
      </w:r>
      <w:proofErr w:type="spellStart"/>
      <w:r>
        <w:rPr>
          <w:rFonts w:ascii="Verdana" w:eastAsia="Verdana" w:hAnsi="Verdana" w:cs="Verdana"/>
          <w:sz w:val="20"/>
          <w:szCs w:val="20"/>
        </w:rPr>
        <w:t>Chemicals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in </w:t>
      </w:r>
      <w:proofErr w:type="spellStart"/>
      <w:r>
        <w:rPr>
          <w:rFonts w:ascii="Verdana" w:eastAsia="Verdana" w:hAnsi="Verdana" w:cs="Verdana"/>
          <w:sz w:val="20"/>
          <w:szCs w:val="20"/>
        </w:rPr>
        <w:t>the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Food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and </w:t>
      </w:r>
      <w:proofErr w:type="spellStart"/>
      <w:r>
        <w:rPr>
          <w:rFonts w:ascii="Verdana" w:eastAsia="Verdana" w:hAnsi="Verdana" w:cs="Verdana"/>
          <w:sz w:val="20"/>
          <w:szCs w:val="20"/>
        </w:rPr>
        <w:t>Beverage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Industry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. In </w:t>
      </w:r>
      <w:proofErr w:type="spellStart"/>
      <w:r>
        <w:rPr>
          <w:rFonts w:ascii="Verdana" w:eastAsia="Verdana" w:hAnsi="Verdana" w:cs="Verdana"/>
          <w:sz w:val="20"/>
          <w:szCs w:val="20"/>
        </w:rPr>
        <w:t>Chemicals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in </w:t>
      </w:r>
      <w:proofErr w:type="spellStart"/>
      <w:r>
        <w:rPr>
          <w:rFonts w:ascii="Verdana" w:eastAsia="Verdana" w:hAnsi="Verdana" w:cs="Verdana"/>
          <w:sz w:val="20"/>
          <w:szCs w:val="20"/>
        </w:rPr>
        <w:t>the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Food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Industry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(pp. 35-42). </w:t>
      </w:r>
      <w:proofErr w:type="spellStart"/>
      <w:r>
        <w:rPr>
          <w:rFonts w:ascii="Verdana" w:eastAsia="Verdana" w:hAnsi="Verdana" w:cs="Verdana"/>
          <w:sz w:val="20"/>
          <w:szCs w:val="20"/>
        </w:rPr>
        <w:t>Springer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, </w:t>
      </w:r>
      <w:proofErr w:type="spellStart"/>
      <w:r>
        <w:rPr>
          <w:rFonts w:ascii="Verdana" w:eastAsia="Verdana" w:hAnsi="Verdana" w:cs="Verdana"/>
          <w:sz w:val="20"/>
          <w:szCs w:val="20"/>
        </w:rPr>
        <w:t>Cham</w:t>
      </w:r>
      <w:proofErr w:type="spellEnd"/>
      <w:r>
        <w:rPr>
          <w:rFonts w:ascii="Verdana" w:eastAsia="Verdana" w:hAnsi="Verdana" w:cs="Verdana"/>
          <w:sz w:val="20"/>
          <w:szCs w:val="20"/>
        </w:rPr>
        <w:t>.</w:t>
      </w:r>
    </w:p>
    <w:p w14:paraId="0000004E" w14:textId="77777777" w:rsidR="001F681D" w:rsidRDefault="006E7110">
      <w:pPr>
        <w:widowControl w:val="0"/>
        <w:numPr>
          <w:ilvl w:val="0"/>
          <w:numId w:val="8"/>
        </w:numPr>
        <w:spacing w:after="200" w:line="240" w:lineRule="auto"/>
        <w:jc w:val="both"/>
        <w:rPr>
          <w:rFonts w:ascii="Verdana" w:eastAsia="Verdana" w:hAnsi="Verdana" w:cs="Verdana"/>
          <w:sz w:val="20"/>
          <w:szCs w:val="20"/>
        </w:rPr>
      </w:pPr>
      <w:proofErr w:type="spellStart"/>
      <w:r>
        <w:rPr>
          <w:rFonts w:ascii="Verdana" w:eastAsia="Verdana" w:hAnsi="Verdana" w:cs="Verdana"/>
          <w:sz w:val="20"/>
          <w:szCs w:val="20"/>
        </w:rPr>
        <w:t>Jansen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, T., </w:t>
      </w:r>
      <w:proofErr w:type="spellStart"/>
      <w:r>
        <w:rPr>
          <w:rFonts w:ascii="Verdana" w:eastAsia="Verdana" w:hAnsi="Verdana" w:cs="Verdana"/>
          <w:sz w:val="20"/>
          <w:szCs w:val="20"/>
        </w:rPr>
        <w:t>Claassen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, L., van </w:t>
      </w:r>
      <w:proofErr w:type="spellStart"/>
      <w:r>
        <w:rPr>
          <w:rFonts w:ascii="Verdana" w:eastAsia="Verdana" w:hAnsi="Verdana" w:cs="Verdana"/>
          <w:sz w:val="20"/>
          <w:szCs w:val="20"/>
        </w:rPr>
        <w:t>Kamp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, I., &amp; </w:t>
      </w:r>
      <w:proofErr w:type="spellStart"/>
      <w:r>
        <w:rPr>
          <w:rFonts w:ascii="Verdana" w:eastAsia="Verdana" w:hAnsi="Verdana" w:cs="Verdana"/>
          <w:sz w:val="20"/>
          <w:szCs w:val="20"/>
        </w:rPr>
        <w:t>Timmermans</w:t>
      </w:r>
      <w:proofErr w:type="spellEnd"/>
      <w:r>
        <w:rPr>
          <w:rFonts w:ascii="Verdana" w:eastAsia="Verdana" w:hAnsi="Verdana" w:cs="Verdana"/>
          <w:sz w:val="20"/>
          <w:szCs w:val="20"/>
        </w:rPr>
        <w:t>, D. R. (20</w:t>
      </w:r>
      <w:r>
        <w:rPr>
          <w:rFonts w:ascii="Verdana" w:eastAsia="Verdana" w:hAnsi="Verdana" w:cs="Verdana"/>
          <w:sz w:val="20"/>
          <w:szCs w:val="20"/>
        </w:rPr>
        <w:t>20). ‘</w:t>
      </w:r>
      <w:proofErr w:type="spellStart"/>
      <w:r>
        <w:rPr>
          <w:rFonts w:ascii="Verdana" w:eastAsia="Verdana" w:hAnsi="Verdana" w:cs="Verdana"/>
          <w:sz w:val="20"/>
          <w:szCs w:val="20"/>
        </w:rPr>
        <w:t>All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chemical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substances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are </w:t>
      </w:r>
      <w:proofErr w:type="spellStart"/>
      <w:r>
        <w:rPr>
          <w:rFonts w:ascii="Verdana" w:eastAsia="Verdana" w:hAnsi="Verdana" w:cs="Verdana"/>
          <w:sz w:val="20"/>
          <w:szCs w:val="20"/>
        </w:rPr>
        <w:t>harmful</w:t>
      </w:r>
      <w:proofErr w:type="spellEnd"/>
      <w:r>
        <w:rPr>
          <w:rFonts w:ascii="Verdana" w:eastAsia="Verdana" w:hAnsi="Verdana" w:cs="Verdana"/>
          <w:sz w:val="20"/>
          <w:szCs w:val="20"/>
        </w:rPr>
        <w:t>.’</w:t>
      </w:r>
      <w:proofErr w:type="spellStart"/>
      <w:r>
        <w:rPr>
          <w:rFonts w:ascii="Verdana" w:eastAsia="Verdana" w:hAnsi="Verdana" w:cs="Verdana"/>
          <w:sz w:val="20"/>
          <w:szCs w:val="20"/>
        </w:rPr>
        <w:t>public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appraisal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of </w:t>
      </w:r>
      <w:proofErr w:type="spellStart"/>
      <w:r>
        <w:rPr>
          <w:rFonts w:ascii="Verdana" w:eastAsia="Verdana" w:hAnsi="Verdana" w:cs="Verdana"/>
          <w:sz w:val="20"/>
          <w:szCs w:val="20"/>
        </w:rPr>
        <w:t>uncertain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risks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of </w:t>
      </w:r>
      <w:proofErr w:type="spellStart"/>
      <w:r>
        <w:rPr>
          <w:rFonts w:ascii="Verdana" w:eastAsia="Verdana" w:hAnsi="Verdana" w:cs="Verdana"/>
          <w:sz w:val="20"/>
          <w:szCs w:val="20"/>
        </w:rPr>
        <w:t>food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additives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and </w:t>
      </w:r>
      <w:proofErr w:type="spellStart"/>
      <w:r>
        <w:rPr>
          <w:rFonts w:ascii="Verdana" w:eastAsia="Verdana" w:hAnsi="Verdana" w:cs="Verdana"/>
          <w:sz w:val="20"/>
          <w:szCs w:val="20"/>
        </w:rPr>
        <w:t>contaminants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. </w:t>
      </w:r>
      <w:proofErr w:type="spellStart"/>
      <w:r>
        <w:rPr>
          <w:rFonts w:ascii="Verdana" w:eastAsia="Verdana" w:hAnsi="Verdana" w:cs="Verdana"/>
          <w:sz w:val="20"/>
          <w:szCs w:val="20"/>
        </w:rPr>
        <w:t>Food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and </w:t>
      </w:r>
      <w:proofErr w:type="spellStart"/>
      <w:r>
        <w:rPr>
          <w:rFonts w:ascii="Verdana" w:eastAsia="Verdana" w:hAnsi="Verdana" w:cs="Verdana"/>
          <w:sz w:val="20"/>
          <w:szCs w:val="20"/>
        </w:rPr>
        <w:t>Chemical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Toxicology</w:t>
      </w:r>
      <w:proofErr w:type="spellEnd"/>
      <w:r>
        <w:rPr>
          <w:rFonts w:ascii="Verdana" w:eastAsia="Verdana" w:hAnsi="Verdana" w:cs="Verdana"/>
          <w:sz w:val="20"/>
          <w:szCs w:val="20"/>
        </w:rPr>
        <w:t>, 136, 110959</w:t>
      </w:r>
    </w:p>
    <w:p w14:paraId="0000004F" w14:textId="77777777" w:rsidR="001F681D" w:rsidRDefault="006E7110">
      <w:pPr>
        <w:numPr>
          <w:ilvl w:val="0"/>
          <w:numId w:val="8"/>
        </w:numPr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Elizabeth, L., Machado, P., </w:t>
      </w:r>
      <w:proofErr w:type="spellStart"/>
      <w:r>
        <w:rPr>
          <w:rFonts w:ascii="Verdana" w:eastAsia="Verdana" w:hAnsi="Verdana" w:cs="Verdana"/>
          <w:sz w:val="20"/>
          <w:szCs w:val="20"/>
        </w:rPr>
        <w:t>Zinöcker</w:t>
      </w:r>
      <w:proofErr w:type="spellEnd"/>
      <w:r>
        <w:rPr>
          <w:rFonts w:ascii="Verdana" w:eastAsia="Verdana" w:hAnsi="Verdana" w:cs="Verdana"/>
          <w:sz w:val="20"/>
          <w:szCs w:val="20"/>
        </w:rPr>
        <w:t>, M., Baker, P., &amp; Lawrence, M. (2020). Ultra-</w:t>
      </w:r>
      <w:proofErr w:type="spellStart"/>
      <w:r>
        <w:rPr>
          <w:rFonts w:ascii="Verdana" w:eastAsia="Verdana" w:hAnsi="Verdana" w:cs="Verdana"/>
          <w:sz w:val="20"/>
          <w:szCs w:val="20"/>
        </w:rPr>
        <w:t>processed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foods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and </w:t>
      </w:r>
      <w:proofErr w:type="spellStart"/>
      <w:r>
        <w:rPr>
          <w:rFonts w:ascii="Verdana" w:eastAsia="Verdana" w:hAnsi="Verdana" w:cs="Verdana"/>
          <w:sz w:val="20"/>
          <w:szCs w:val="20"/>
        </w:rPr>
        <w:t>health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outcomes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: a </w:t>
      </w:r>
      <w:proofErr w:type="spellStart"/>
      <w:r>
        <w:rPr>
          <w:rFonts w:ascii="Verdana" w:eastAsia="Verdana" w:hAnsi="Verdana" w:cs="Verdana"/>
          <w:sz w:val="20"/>
          <w:szCs w:val="20"/>
        </w:rPr>
        <w:t>narrative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review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. </w:t>
      </w:r>
      <w:proofErr w:type="spellStart"/>
      <w:r>
        <w:rPr>
          <w:rFonts w:ascii="Verdana" w:eastAsia="Verdana" w:hAnsi="Verdana" w:cs="Verdana"/>
          <w:sz w:val="20"/>
          <w:szCs w:val="20"/>
        </w:rPr>
        <w:t>Nutrients</w:t>
      </w:r>
      <w:proofErr w:type="spellEnd"/>
      <w:r>
        <w:rPr>
          <w:rFonts w:ascii="Verdana" w:eastAsia="Verdana" w:hAnsi="Verdana" w:cs="Verdana"/>
          <w:sz w:val="20"/>
          <w:szCs w:val="20"/>
        </w:rPr>
        <w:t>. 12(7), 1995.</w:t>
      </w:r>
    </w:p>
    <w:p w14:paraId="00000050" w14:textId="77777777" w:rsidR="001F681D" w:rsidRDefault="006E7110">
      <w:pPr>
        <w:numPr>
          <w:ilvl w:val="0"/>
          <w:numId w:val="8"/>
        </w:numPr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ALIMENTARIOS, S. A. (1996). Programa conjunto FAO/OMS sobre normas alimentarias Comisión del </w:t>
      </w:r>
      <w:r>
        <w:rPr>
          <w:rFonts w:ascii="Verdana" w:eastAsia="Verdana" w:hAnsi="Verdana" w:cs="Verdana"/>
          <w:sz w:val="20"/>
          <w:szCs w:val="20"/>
        </w:rPr>
        <w:t xml:space="preserve">Codex </w:t>
      </w:r>
      <w:proofErr w:type="spellStart"/>
      <w:r>
        <w:rPr>
          <w:rFonts w:ascii="Verdana" w:eastAsia="Verdana" w:hAnsi="Verdana" w:cs="Verdana"/>
          <w:sz w:val="20"/>
          <w:szCs w:val="20"/>
        </w:rPr>
        <w:t>Alimentarius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. </w:t>
      </w:r>
      <w:r>
        <w:t>https://www.fao.org/fao-who-codexalimentarius/sh-proxy/en/?lnk=1&amp;url=https%253A%252F%252Fworkspace.fao.org%252Fsites%252Fcodex%252FStandards%252FCXS%2B192-1995%252FCXS_192s.pdf</w:t>
      </w:r>
    </w:p>
    <w:p w14:paraId="00000051" w14:textId="77777777" w:rsidR="001F681D" w:rsidRDefault="006E7110">
      <w:pPr>
        <w:numPr>
          <w:ilvl w:val="0"/>
          <w:numId w:val="8"/>
        </w:numPr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Nieto Vallejo MF, Domínguez Altamirano MC. Evaluación del e</w:t>
      </w:r>
      <w:r>
        <w:rPr>
          <w:rFonts w:ascii="Verdana" w:eastAsia="Verdana" w:hAnsi="Verdana" w:cs="Verdana"/>
          <w:sz w:val="20"/>
          <w:szCs w:val="20"/>
        </w:rPr>
        <w:t xml:space="preserve">fecto de tres aditivos y dos tipos de aceite para la elaboración de una papilla a base de una oleaginosa y cereales extruidos para niños de 6 a 36 meses. Quito; 2013. </w:t>
      </w:r>
    </w:p>
    <w:p w14:paraId="00000052" w14:textId="77777777" w:rsidR="001F681D" w:rsidRDefault="006E7110">
      <w:pPr>
        <w:numPr>
          <w:ilvl w:val="0"/>
          <w:numId w:val="8"/>
        </w:numPr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Ministerio de trabajo, migraciones y seguridad social de e. Documentación toxicológica p</w:t>
      </w:r>
      <w:r>
        <w:rPr>
          <w:rFonts w:ascii="Verdana" w:eastAsia="Verdana" w:hAnsi="Verdana" w:cs="Verdana"/>
          <w:sz w:val="20"/>
          <w:szCs w:val="20"/>
        </w:rPr>
        <w:t xml:space="preserve">ara </w:t>
      </w:r>
      <w:proofErr w:type="spellStart"/>
      <w:r>
        <w:rPr>
          <w:rFonts w:ascii="Verdana" w:eastAsia="Verdana" w:hAnsi="Verdana" w:cs="Verdana"/>
          <w:sz w:val="20"/>
          <w:szCs w:val="20"/>
        </w:rPr>
        <w:t>el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gramStart"/>
      <w:r>
        <w:rPr>
          <w:rFonts w:ascii="Verdana" w:eastAsia="Verdana" w:hAnsi="Verdana" w:cs="Verdana"/>
          <w:sz w:val="20"/>
          <w:szCs w:val="20"/>
        </w:rPr>
        <w:t>la establecimiento</w:t>
      </w:r>
      <w:proofErr w:type="gramEnd"/>
      <w:r>
        <w:rPr>
          <w:rFonts w:ascii="Verdana" w:eastAsia="Verdana" w:hAnsi="Verdana" w:cs="Verdana"/>
          <w:sz w:val="20"/>
          <w:szCs w:val="20"/>
        </w:rPr>
        <w:t xml:space="preserve"> del límite de exposición v profesional del </w:t>
      </w:r>
      <w:proofErr w:type="spellStart"/>
      <w:r>
        <w:rPr>
          <w:rFonts w:ascii="Verdana" w:eastAsia="Verdana" w:hAnsi="Verdana" w:cs="Verdana"/>
          <w:sz w:val="20"/>
          <w:szCs w:val="20"/>
        </w:rPr>
        <w:t>diacetilo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. 2015. </w:t>
      </w:r>
      <w:hyperlink r:id="rId9">
        <w:r>
          <w:rPr>
            <w:rFonts w:ascii="Verdana" w:eastAsia="Verdana" w:hAnsi="Verdana" w:cs="Verdana"/>
            <w:color w:val="1155CC"/>
            <w:sz w:val="20"/>
            <w:szCs w:val="20"/>
            <w:u w:val="single"/>
          </w:rPr>
          <w:t>https://www.in</w:t>
        </w:r>
        <w:r>
          <w:rPr>
            <w:rFonts w:ascii="Verdana" w:eastAsia="Verdana" w:hAnsi="Verdana" w:cs="Verdana"/>
            <w:color w:val="1155CC"/>
            <w:sz w:val="20"/>
            <w:szCs w:val="20"/>
            <w:u w:val="single"/>
          </w:rPr>
          <w:t>sst.es/documents/94886/431980/DLEP+126+Diacetilo+2019.pdf/2008d8a5-4569-4327-91a7-c7079bee125a?version=1.1&amp;t=1578966386428</w:t>
        </w:r>
      </w:hyperlink>
      <w:r>
        <w:rPr>
          <w:rFonts w:ascii="Verdana" w:eastAsia="Verdana" w:hAnsi="Verdana" w:cs="Verdana"/>
          <w:sz w:val="20"/>
          <w:szCs w:val="20"/>
        </w:rPr>
        <w:t xml:space="preserve"> </w:t>
      </w:r>
    </w:p>
    <w:p w14:paraId="00000053" w14:textId="77777777" w:rsidR="001F681D" w:rsidRDefault="006E7110">
      <w:pPr>
        <w:numPr>
          <w:ilvl w:val="0"/>
          <w:numId w:val="8"/>
        </w:numPr>
        <w:jc w:val="both"/>
        <w:rPr>
          <w:rFonts w:ascii="Verdana" w:eastAsia="Verdana" w:hAnsi="Verdana" w:cs="Verdana"/>
          <w:sz w:val="20"/>
          <w:szCs w:val="20"/>
        </w:rPr>
      </w:pPr>
      <w:proofErr w:type="spellStart"/>
      <w:r>
        <w:rPr>
          <w:rFonts w:ascii="Verdana" w:eastAsia="Verdana" w:hAnsi="Verdana" w:cs="Verdana"/>
          <w:sz w:val="20"/>
          <w:szCs w:val="20"/>
        </w:rPr>
        <w:t>Ataseven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N, </w:t>
      </w:r>
      <w:proofErr w:type="spellStart"/>
      <w:r>
        <w:rPr>
          <w:rFonts w:ascii="Verdana" w:eastAsia="Verdana" w:hAnsi="Verdana" w:cs="Verdana"/>
          <w:sz w:val="20"/>
          <w:szCs w:val="20"/>
        </w:rPr>
        <w:t>Yüzbaşıoğlu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D, </w:t>
      </w:r>
      <w:proofErr w:type="spellStart"/>
      <w:r>
        <w:rPr>
          <w:rFonts w:ascii="Verdana" w:eastAsia="Verdana" w:hAnsi="Verdana" w:cs="Verdana"/>
          <w:sz w:val="20"/>
          <w:szCs w:val="20"/>
        </w:rPr>
        <w:t>Keskin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A, </w:t>
      </w:r>
      <w:proofErr w:type="spellStart"/>
      <w:r>
        <w:rPr>
          <w:rFonts w:ascii="Verdana" w:eastAsia="Verdana" w:hAnsi="Verdana" w:cs="Verdana"/>
          <w:sz w:val="20"/>
          <w:szCs w:val="20"/>
        </w:rPr>
        <w:t>Ünal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F. </w:t>
      </w:r>
      <w:proofErr w:type="spellStart"/>
      <w:r>
        <w:rPr>
          <w:rFonts w:ascii="Verdana" w:eastAsia="Verdana" w:hAnsi="Verdana" w:cs="Verdana"/>
          <w:sz w:val="20"/>
          <w:szCs w:val="20"/>
        </w:rPr>
        <w:t>Genotoxicity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of </w:t>
      </w:r>
      <w:proofErr w:type="spellStart"/>
      <w:r>
        <w:rPr>
          <w:rFonts w:ascii="Verdana" w:eastAsia="Verdana" w:hAnsi="Verdana" w:cs="Verdana"/>
          <w:sz w:val="20"/>
          <w:szCs w:val="20"/>
        </w:rPr>
        <w:t>monosodium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glutamate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. </w:t>
      </w:r>
      <w:proofErr w:type="spellStart"/>
      <w:r>
        <w:rPr>
          <w:rFonts w:ascii="Verdana" w:eastAsia="Verdana" w:hAnsi="Verdana" w:cs="Verdana"/>
          <w:sz w:val="20"/>
          <w:szCs w:val="20"/>
        </w:rPr>
        <w:t>Food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and </w:t>
      </w:r>
      <w:proofErr w:type="spellStart"/>
      <w:r>
        <w:rPr>
          <w:rFonts w:ascii="Verdana" w:eastAsia="Verdana" w:hAnsi="Verdana" w:cs="Verdana"/>
          <w:sz w:val="20"/>
          <w:szCs w:val="20"/>
        </w:rPr>
        <w:t>Chemical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Toxicology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. </w:t>
      </w:r>
      <w:proofErr w:type="gramStart"/>
      <w:r>
        <w:rPr>
          <w:rFonts w:ascii="Verdana" w:eastAsia="Verdana" w:hAnsi="Verdana" w:cs="Verdana"/>
          <w:sz w:val="20"/>
          <w:szCs w:val="20"/>
        </w:rPr>
        <w:t>2016;91:8</w:t>
      </w:r>
      <w:proofErr w:type="gramEnd"/>
      <w:r>
        <w:rPr>
          <w:rFonts w:ascii="Verdana" w:eastAsia="Verdana" w:hAnsi="Verdana" w:cs="Verdana"/>
          <w:sz w:val="20"/>
          <w:szCs w:val="20"/>
        </w:rPr>
        <w:t>-18.</w:t>
      </w:r>
    </w:p>
    <w:p w14:paraId="00000054" w14:textId="77777777" w:rsidR="001F681D" w:rsidRDefault="006E7110">
      <w:pPr>
        <w:numPr>
          <w:ilvl w:val="0"/>
          <w:numId w:val="8"/>
        </w:numPr>
        <w:jc w:val="both"/>
        <w:rPr>
          <w:rFonts w:ascii="Verdana" w:eastAsia="Verdana" w:hAnsi="Verdana" w:cs="Verdana"/>
          <w:sz w:val="20"/>
          <w:szCs w:val="20"/>
        </w:rPr>
      </w:pPr>
      <w:proofErr w:type="spellStart"/>
      <w:r>
        <w:rPr>
          <w:rFonts w:ascii="Roboto" w:eastAsia="Roboto" w:hAnsi="Roboto" w:cs="Roboto"/>
          <w:sz w:val="20"/>
          <w:szCs w:val="20"/>
          <w:highlight w:val="white"/>
        </w:rPr>
        <w:t>Kazmi</w:t>
      </w:r>
      <w:proofErr w:type="spellEnd"/>
      <w:r>
        <w:rPr>
          <w:rFonts w:ascii="Roboto" w:eastAsia="Roboto" w:hAnsi="Roboto" w:cs="Roboto"/>
          <w:sz w:val="20"/>
          <w:szCs w:val="20"/>
          <w:highlight w:val="white"/>
        </w:rPr>
        <w:t xml:space="preserve"> Z, </w:t>
      </w:r>
      <w:proofErr w:type="spellStart"/>
      <w:r>
        <w:rPr>
          <w:rFonts w:ascii="Roboto" w:eastAsia="Roboto" w:hAnsi="Roboto" w:cs="Roboto"/>
          <w:sz w:val="20"/>
          <w:szCs w:val="20"/>
          <w:highlight w:val="white"/>
        </w:rPr>
        <w:t>Fatima</w:t>
      </w:r>
      <w:proofErr w:type="spellEnd"/>
      <w:r>
        <w:rPr>
          <w:rFonts w:ascii="Roboto" w:eastAsia="Roboto" w:hAnsi="Roboto" w:cs="Roboto"/>
          <w:sz w:val="20"/>
          <w:szCs w:val="20"/>
          <w:highlight w:val="white"/>
        </w:rPr>
        <w:t xml:space="preserve"> I, </w:t>
      </w:r>
      <w:proofErr w:type="spellStart"/>
      <w:r>
        <w:rPr>
          <w:rFonts w:ascii="Roboto" w:eastAsia="Roboto" w:hAnsi="Roboto" w:cs="Roboto"/>
          <w:sz w:val="20"/>
          <w:szCs w:val="20"/>
          <w:highlight w:val="white"/>
        </w:rPr>
        <w:t>Perveen</w:t>
      </w:r>
      <w:proofErr w:type="spellEnd"/>
      <w:r>
        <w:rPr>
          <w:rFonts w:ascii="Roboto" w:eastAsia="Roboto" w:hAnsi="Roboto" w:cs="Roboto"/>
          <w:sz w:val="20"/>
          <w:szCs w:val="20"/>
          <w:highlight w:val="white"/>
        </w:rPr>
        <w:t xml:space="preserve"> S, </w:t>
      </w:r>
      <w:proofErr w:type="spellStart"/>
      <w:r>
        <w:rPr>
          <w:rFonts w:ascii="Roboto" w:eastAsia="Roboto" w:hAnsi="Roboto" w:cs="Roboto"/>
          <w:sz w:val="20"/>
          <w:szCs w:val="20"/>
          <w:highlight w:val="white"/>
        </w:rPr>
        <w:t>Malik</w:t>
      </w:r>
      <w:proofErr w:type="spellEnd"/>
      <w:r>
        <w:rPr>
          <w:rFonts w:ascii="Roboto" w:eastAsia="Roboto" w:hAnsi="Roboto" w:cs="Roboto"/>
          <w:sz w:val="20"/>
          <w:szCs w:val="20"/>
          <w:highlight w:val="white"/>
        </w:rPr>
        <w:t xml:space="preserve"> S. </w:t>
      </w:r>
      <w:proofErr w:type="spellStart"/>
      <w:r>
        <w:rPr>
          <w:rFonts w:ascii="Roboto" w:eastAsia="Roboto" w:hAnsi="Roboto" w:cs="Roboto"/>
          <w:sz w:val="20"/>
          <w:szCs w:val="20"/>
          <w:highlight w:val="white"/>
        </w:rPr>
        <w:t>Monosodium</w:t>
      </w:r>
      <w:proofErr w:type="spellEnd"/>
      <w:r>
        <w:rPr>
          <w:rFonts w:ascii="Roboto" w:eastAsia="Roboto" w:hAnsi="Roboto" w:cs="Roboto"/>
          <w:sz w:val="20"/>
          <w:szCs w:val="20"/>
          <w:highlight w:val="white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  <w:highlight w:val="white"/>
        </w:rPr>
        <w:t>glutamate</w:t>
      </w:r>
      <w:proofErr w:type="spellEnd"/>
      <w:r>
        <w:rPr>
          <w:rFonts w:ascii="Roboto" w:eastAsia="Roboto" w:hAnsi="Roboto" w:cs="Roboto"/>
          <w:sz w:val="20"/>
          <w:szCs w:val="20"/>
          <w:highlight w:val="white"/>
        </w:rPr>
        <w:t xml:space="preserve">: </w:t>
      </w:r>
      <w:proofErr w:type="spellStart"/>
      <w:r>
        <w:rPr>
          <w:rFonts w:ascii="Roboto" w:eastAsia="Roboto" w:hAnsi="Roboto" w:cs="Roboto"/>
          <w:sz w:val="20"/>
          <w:szCs w:val="20"/>
          <w:highlight w:val="white"/>
        </w:rPr>
        <w:t>Review</w:t>
      </w:r>
      <w:proofErr w:type="spellEnd"/>
      <w:r>
        <w:rPr>
          <w:rFonts w:ascii="Roboto" w:eastAsia="Roboto" w:hAnsi="Roboto" w:cs="Roboto"/>
          <w:sz w:val="20"/>
          <w:szCs w:val="20"/>
          <w:highlight w:val="white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  <w:highlight w:val="white"/>
        </w:rPr>
        <w:t>on</w:t>
      </w:r>
      <w:proofErr w:type="spellEnd"/>
      <w:r>
        <w:rPr>
          <w:rFonts w:ascii="Roboto" w:eastAsia="Roboto" w:hAnsi="Roboto" w:cs="Roboto"/>
          <w:sz w:val="20"/>
          <w:szCs w:val="20"/>
          <w:highlight w:val="white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  <w:highlight w:val="white"/>
        </w:rPr>
        <w:t>clinical</w:t>
      </w:r>
      <w:proofErr w:type="spellEnd"/>
      <w:r>
        <w:rPr>
          <w:rFonts w:ascii="Roboto" w:eastAsia="Roboto" w:hAnsi="Roboto" w:cs="Roboto"/>
          <w:sz w:val="20"/>
          <w:szCs w:val="20"/>
          <w:highlight w:val="white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  <w:highlight w:val="white"/>
        </w:rPr>
        <w:t>reports</w:t>
      </w:r>
      <w:proofErr w:type="spellEnd"/>
      <w:r>
        <w:rPr>
          <w:rFonts w:ascii="Roboto" w:eastAsia="Roboto" w:hAnsi="Roboto" w:cs="Roboto"/>
          <w:sz w:val="20"/>
          <w:szCs w:val="20"/>
          <w:highlight w:val="white"/>
        </w:rPr>
        <w:t xml:space="preserve">. International </w:t>
      </w:r>
      <w:proofErr w:type="spellStart"/>
      <w:r>
        <w:rPr>
          <w:rFonts w:ascii="Roboto" w:eastAsia="Roboto" w:hAnsi="Roboto" w:cs="Roboto"/>
          <w:sz w:val="20"/>
          <w:szCs w:val="20"/>
          <w:highlight w:val="white"/>
        </w:rPr>
        <w:t>Journal</w:t>
      </w:r>
      <w:proofErr w:type="spellEnd"/>
      <w:r>
        <w:rPr>
          <w:rFonts w:ascii="Roboto" w:eastAsia="Roboto" w:hAnsi="Roboto" w:cs="Roboto"/>
          <w:sz w:val="20"/>
          <w:szCs w:val="20"/>
          <w:highlight w:val="white"/>
        </w:rPr>
        <w:t xml:space="preserve"> of </w:t>
      </w:r>
      <w:proofErr w:type="spellStart"/>
      <w:r>
        <w:rPr>
          <w:rFonts w:ascii="Roboto" w:eastAsia="Roboto" w:hAnsi="Roboto" w:cs="Roboto"/>
          <w:sz w:val="20"/>
          <w:szCs w:val="20"/>
          <w:highlight w:val="white"/>
        </w:rPr>
        <w:t>Food</w:t>
      </w:r>
      <w:proofErr w:type="spellEnd"/>
      <w:r>
        <w:rPr>
          <w:rFonts w:ascii="Roboto" w:eastAsia="Roboto" w:hAnsi="Roboto" w:cs="Roboto"/>
          <w:sz w:val="20"/>
          <w:szCs w:val="20"/>
          <w:highlight w:val="white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  <w:highlight w:val="white"/>
        </w:rPr>
        <w:t>Properties</w:t>
      </w:r>
      <w:proofErr w:type="spellEnd"/>
      <w:r>
        <w:rPr>
          <w:rFonts w:ascii="Roboto" w:eastAsia="Roboto" w:hAnsi="Roboto" w:cs="Roboto"/>
          <w:sz w:val="20"/>
          <w:szCs w:val="20"/>
          <w:highlight w:val="white"/>
        </w:rPr>
        <w:t xml:space="preserve">. </w:t>
      </w:r>
      <w:proofErr w:type="gramStart"/>
      <w:r>
        <w:rPr>
          <w:rFonts w:ascii="Roboto" w:eastAsia="Roboto" w:hAnsi="Roboto" w:cs="Roboto"/>
          <w:sz w:val="20"/>
          <w:szCs w:val="20"/>
          <w:highlight w:val="white"/>
        </w:rPr>
        <w:t>2017;:</w:t>
      </w:r>
      <w:proofErr w:type="gramEnd"/>
      <w:r>
        <w:rPr>
          <w:rFonts w:ascii="Roboto" w:eastAsia="Roboto" w:hAnsi="Roboto" w:cs="Roboto"/>
          <w:sz w:val="20"/>
          <w:szCs w:val="20"/>
          <w:highlight w:val="white"/>
        </w:rPr>
        <w:t>1-9.</w:t>
      </w:r>
    </w:p>
    <w:p w14:paraId="00000055" w14:textId="77777777" w:rsidR="001F681D" w:rsidRDefault="001F681D">
      <w:pPr>
        <w:widowControl w:val="0"/>
        <w:spacing w:line="240" w:lineRule="auto"/>
        <w:rPr>
          <w:rFonts w:ascii="Verdana" w:eastAsia="Verdana" w:hAnsi="Verdana" w:cs="Verdana"/>
          <w:sz w:val="20"/>
          <w:szCs w:val="20"/>
        </w:rPr>
      </w:pPr>
    </w:p>
    <w:p w14:paraId="00000056" w14:textId="77777777" w:rsidR="001F681D" w:rsidRDefault="001F681D">
      <w:pPr>
        <w:widowControl w:val="0"/>
        <w:spacing w:line="240" w:lineRule="auto"/>
        <w:rPr>
          <w:rFonts w:ascii="Verdana" w:eastAsia="Verdana" w:hAnsi="Verdana" w:cs="Verdana"/>
          <w:sz w:val="20"/>
          <w:szCs w:val="20"/>
        </w:rPr>
      </w:pPr>
    </w:p>
    <w:sectPr w:rsidR="001F681D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A4953B" w14:textId="77777777" w:rsidR="006E7110" w:rsidRDefault="006E7110">
      <w:pPr>
        <w:spacing w:after="0" w:line="240" w:lineRule="auto"/>
      </w:pPr>
      <w:r>
        <w:separator/>
      </w:r>
    </w:p>
  </w:endnote>
  <w:endnote w:type="continuationSeparator" w:id="0">
    <w:p w14:paraId="4222B400" w14:textId="77777777" w:rsidR="006E7110" w:rsidRDefault="006E7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Georgia">
    <w:panose1 w:val="02040502050405020303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oboto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BAE1E2" w14:textId="77777777" w:rsidR="006E7110" w:rsidRDefault="006E7110">
      <w:pPr>
        <w:spacing w:after="0" w:line="240" w:lineRule="auto"/>
      </w:pPr>
      <w:r>
        <w:separator/>
      </w:r>
    </w:p>
  </w:footnote>
  <w:footnote w:type="continuationSeparator" w:id="0">
    <w:p w14:paraId="39A98D88" w14:textId="77777777" w:rsidR="006E7110" w:rsidRDefault="006E7110">
      <w:pPr>
        <w:spacing w:after="0" w:line="240" w:lineRule="auto"/>
      </w:pPr>
      <w:r>
        <w:continuationSeparator/>
      </w:r>
    </w:p>
  </w:footnote>
  <w:footnote w:id="1">
    <w:p w14:paraId="00000057" w14:textId="77777777" w:rsidR="001F681D" w:rsidRDefault="006E7110">
      <w:pPr>
        <w:spacing w:after="0" w:line="240" w:lineRule="auto"/>
        <w:ind w:hanging="2"/>
        <w:jc w:val="both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sz w:val="20"/>
          <w:szCs w:val="20"/>
        </w:rPr>
        <w:t>Según el perfil de Nutrientes de la Organización Panamericana de la Salud (OPS) 2016, un producto tiene exceso de sodio, cuando el sodio es igual o superior de 1 mg por cada kilocaloría aportada por la porción establecida por el fabricante en el etiquetado</w:t>
      </w:r>
      <w:r>
        <w:rPr>
          <w:sz w:val="20"/>
          <w:szCs w:val="20"/>
        </w:rPr>
        <w:t>.</w:t>
      </w:r>
    </w:p>
  </w:footnote>
  <w:footnote w:id="2">
    <w:p w14:paraId="00000058" w14:textId="77777777" w:rsidR="001F681D" w:rsidRDefault="006E7110">
      <w:pPr>
        <w:spacing w:after="0" w:line="240" w:lineRule="auto"/>
        <w:jc w:val="both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Cada gramo de grasa saturada aporta 9 kilocalorías. La cantidad de una cuchara de postre equivale a 5 mililitros de aceite. Según el perfil de Nutrientes de la Organización Panamericana de la Salud (OPS) 2016, un producto tiene exceso de grasa saturada</w:t>
      </w:r>
      <w:r>
        <w:rPr>
          <w:sz w:val="20"/>
          <w:szCs w:val="20"/>
        </w:rPr>
        <w:t xml:space="preserve">, cuando las kilocalorías aportadas provenientes de la grasa saturada son iguales o superiores al 10 % de las kilocalorías aportadas por la porción establecida por el fabricante en el etiquetado. </w:t>
      </w:r>
    </w:p>
  </w:footnote>
  <w:footnote w:id="3">
    <w:p w14:paraId="00000059" w14:textId="77777777" w:rsidR="001F681D" w:rsidRDefault="006E7110">
      <w:pPr>
        <w:spacing w:after="0" w:line="240" w:lineRule="auto"/>
        <w:jc w:val="both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Estudiante de pasantía de la carrera de Nutrición y Dieté</w:t>
      </w:r>
      <w:r>
        <w:rPr>
          <w:sz w:val="20"/>
          <w:szCs w:val="20"/>
        </w:rPr>
        <w:t>tica del Departamento de Nutrición Humana de la Facultad de Medicina de la Universidad Nacional de Colombia.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74B32"/>
    <w:multiLevelType w:val="multilevel"/>
    <w:tmpl w:val="0AEC49A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A042588"/>
    <w:multiLevelType w:val="multilevel"/>
    <w:tmpl w:val="28300BB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8786302"/>
    <w:multiLevelType w:val="multilevel"/>
    <w:tmpl w:val="22EC176C"/>
    <w:lvl w:ilvl="0">
      <w:start w:val="3"/>
      <w:numFmt w:val="bullet"/>
      <w:lvlText w:val="-"/>
      <w:lvlJc w:val="left"/>
      <w:pPr>
        <w:ind w:left="1068" w:hanging="360"/>
      </w:pPr>
      <w:rPr>
        <w:rFonts w:ascii="Calibri" w:eastAsia="Calibri" w:hAnsi="Calibri" w:cs="Calibri"/>
        <w:shd w:val="clear" w:color="auto" w:fill="auto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4AD3647"/>
    <w:multiLevelType w:val="multilevel"/>
    <w:tmpl w:val="E98C1FD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59991E2D"/>
    <w:multiLevelType w:val="multilevel"/>
    <w:tmpl w:val="942CD61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F092E1E"/>
    <w:multiLevelType w:val="multilevel"/>
    <w:tmpl w:val="0716228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5FF45AFB"/>
    <w:multiLevelType w:val="multilevel"/>
    <w:tmpl w:val="34203C1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7DB2635E"/>
    <w:multiLevelType w:val="multilevel"/>
    <w:tmpl w:val="D408C6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7"/>
  </w:num>
  <w:num w:numId="5">
    <w:abstractNumId w:val="4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81D"/>
    <w:rsid w:val="001F681D"/>
    <w:rsid w:val="0068747E"/>
    <w:rsid w:val="006E7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FF7FA"/>
  <w15:docId w15:val="{19133DED-2304-4948-A346-71FEE379E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77C8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6D77C8"/>
    <w:pPr>
      <w:ind w:left="720"/>
      <w:contextualSpacing/>
    </w:pPr>
  </w:style>
  <w:style w:type="paragraph" w:styleId="Sinespaciado">
    <w:name w:val="No Spacing"/>
    <w:uiPriority w:val="1"/>
    <w:qFormat/>
    <w:rsid w:val="00730A24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0C290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C290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C290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C290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C2909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C290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2909"/>
    <w:rPr>
      <w:rFonts w:ascii="Times New Roman" w:hAnsi="Times New Roman" w:cs="Times New Roman"/>
      <w:sz w:val="18"/>
      <w:szCs w:val="1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ho.org/permission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insst.es/documents/94886/431980/DLEP+126+Diacetilo+2019.pdf/2008d8a5-4569-4327-91a7-c7079bee125a?version=1.1&amp;t=1578966386428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BKkgDzGH1G3fccTAjmT1nse75g==">AMUW2mXRn9QMEl1FLhqhPFYE0SAYwok7dkqyf4ZNR47Ro5IXd0nVXkCwln3VpRXpCqcsxxLyqELaL6tyZnQXpd+0gDk2Fm0MMbSTkacOfIL+Ri1ji1ZxExfaKYIo5D2b3aEirFGFondH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1034</Words>
  <Characters>5692</Characters>
  <Application>Microsoft Office Word</Application>
  <DocSecurity>0</DocSecurity>
  <Lines>47</Lines>
  <Paragraphs>13</Paragraphs>
  <ScaleCrop>false</ScaleCrop>
  <Company>HP</Company>
  <LinksUpToDate>false</LinksUpToDate>
  <CharactersWithSpaces>6713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Ardila, Paula</dc:creator>
  <cp:lastModifiedBy>SUSANA</cp:lastModifiedBy>
  <cp:revision>2</cp:revision>
  <dcterms:created xsi:type="dcterms:W3CDTF">2022-02-27T21:40:00Z</dcterms:created>
  <dcterms:modified xsi:type="dcterms:W3CDTF">2022-03-09T18:28:00Z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a5ce91f3-ea16-3e76-9a95-fb9303b6318e</vt:lpwstr>
  </property>
  <property fmtid="{D5CDD505-2E9C-101B-9397-08002B2CF9AE}" pid="4" name="Mendeley Citation Style_1">
    <vt:lpwstr>http://www.zotero.org/styles/vancouver</vt:lpwstr>
  </property>
  <property fmtid="{D5CDD505-2E9C-101B-9397-08002B2CF9AE}" pid="5" name="Mendeley Recent Style Id 0_1">
    <vt:lpwstr>http://www.zotero.org/styles/american-political-science-association</vt:lpwstr>
  </property>
  <property fmtid="{D5CDD505-2E9C-101B-9397-08002B2CF9AE}" pid="6" name="Mendeley Recent Style Name 0_1">
    <vt:lpwstr>American Political Science Association</vt:lpwstr>
  </property>
  <property fmtid="{D5CDD505-2E9C-101B-9397-08002B2CF9AE}" pid="7" name="Mendeley Recent Style Id 1_1">
    <vt:lpwstr>http://www.zotero.org/styles/apa</vt:lpwstr>
  </property>
  <property fmtid="{D5CDD505-2E9C-101B-9397-08002B2CF9AE}" pid="8" name="Mendeley Recent Style Name 1_1">
    <vt:lpwstr>American Psychological Association 7th edition</vt:lpwstr>
  </property>
  <property fmtid="{D5CDD505-2E9C-101B-9397-08002B2CF9AE}" pid="9" name="Mendeley Recent Style Id 2_1">
    <vt:lpwstr>http://www.zotero.org/styles/american-sociological-association</vt:lpwstr>
  </property>
  <property fmtid="{D5CDD505-2E9C-101B-9397-08002B2CF9AE}" pid="10" name="Mendeley Recent Style Name 2_1">
    <vt:lpwstr>American Sociological Association 6th edition</vt:lpwstr>
  </property>
  <property fmtid="{D5CDD505-2E9C-101B-9397-08002B2CF9AE}" pid="11" name="Mendeley Recent Style Id 3_1">
    <vt:lpwstr>http://www.zotero.org/styles/chicago-author-date</vt:lpwstr>
  </property>
  <property fmtid="{D5CDD505-2E9C-101B-9397-08002B2CF9AE}" pid="12" name="Mendeley Recent Style Name 3_1">
    <vt:lpwstr>Chicago Manual of Style 17th edition (author-date)</vt:lpwstr>
  </property>
  <property fmtid="{D5CDD505-2E9C-101B-9397-08002B2CF9AE}" pid="13" name="Mendeley Recent Style Id 4_1">
    <vt:lpwstr>http://www.zotero.org/styles/harvard-cite-them-right</vt:lpwstr>
  </property>
  <property fmtid="{D5CDD505-2E9C-101B-9397-08002B2CF9AE}" pid="14" name="Mendeley Recent Style Name 4_1">
    <vt:lpwstr>Cite Them Right 10th edition - Harvard</vt:lpwstr>
  </property>
  <property fmtid="{D5CDD505-2E9C-101B-9397-08002B2CF9AE}" pid="15" name="Mendeley Recent Style Id 5_1">
    <vt:lpwstr>http://www.zotero.org/styles/ieee</vt:lpwstr>
  </property>
  <property fmtid="{D5CDD505-2E9C-101B-9397-08002B2CF9AE}" pid="16" name="Mendeley Recent Style Name 5_1">
    <vt:lpwstr>IEEE</vt:lpwstr>
  </property>
  <property fmtid="{D5CDD505-2E9C-101B-9397-08002B2CF9AE}" pid="17" name="Mendeley Recent Style Id 6_1">
    <vt:lpwstr>http://www.zotero.org/styles/modern-humanities-research-association</vt:lpwstr>
  </property>
  <property fmtid="{D5CDD505-2E9C-101B-9397-08002B2CF9AE}" pid="18" name="Mendeley Recent Style Name 6_1">
    <vt:lpwstr>Modern Humanities Research Association 3rd edition (note with bibliography)</vt:lpwstr>
  </property>
  <property fmtid="{D5CDD505-2E9C-101B-9397-08002B2CF9AE}" pid="19" name="Mendeley Recent Style Id 7_1">
    <vt:lpwstr>http://www.zotero.org/styles/modern-language-association</vt:lpwstr>
  </property>
  <property fmtid="{D5CDD505-2E9C-101B-9397-08002B2CF9AE}" pid="20" name="Mendeley Recent Style Name 7_1">
    <vt:lpwstr>Modern Language Association 8th edition</vt:lpwstr>
  </property>
  <property fmtid="{D5CDD505-2E9C-101B-9397-08002B2CF9AE}" pid="21" name="Mendeley Recent Style Id 8_1">
    <vt:lpwstr>http://www.zotero.org/styles/nature</vt:lpwstr>
  </property>
  <property fmtid="{D5CDD505-2E9C-101B-9397-08002B2CF9AE}" pid="22" name="Mendeley Recent Style Name 8_1">
    <vt:lpwstr>Nature</vt:lpwstr>
  </property>
  <property fmtid="{D5CDD505-2E9C-101B-9397-08002B2CF9AE}" pid="23" name="Mendeley Recent Style Id 9_1">
    <vt:lpwstr>http://www.zotero.org/styles/vancouver</vt:lpwstr>
  </property>
  <property fmtid="{D5CDD505-2E9C-101B-9397-08002B2CF9AE}" pid="24" name="Mendeley Recent Style Name 9_1">
    <vt:lpwstr>Vancouver</vt:lpwstr>
  </property>
</Properties>
</file>